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72ADC" w14:textId="77777777" w:rsidR="00822AB3" w:rsidRPr="00867948" w:rsidRDefault="00822AB3" w:rsidP="00E73D2C">
      <w:pPr>
        <w:pStyle w:val="Kop1"/>
        <w:rPr>
          <w:lang w:val="fr-BE"/>
        </w:rPr>
      </w:pPr>
    </w:p>
    <w:p w14:paraId="680777DE" w14:textId="77777777" w:rsidR="001274AA" w:rsidRPr="009F64E9" w:rsidRDefault="001274AA" w:rsidP="001274AA">
      <w:pPr>
        <w:spacing w:after="0"/>
        <w:rPr>
          <w:rFonts w:ascii="Calibri" w:hAnsi="Calibri" w:cs="Calibri"/>
          <w:b/>
          <w:sz w:val="28"/>
          <w:szCs w:val="28"/>
        </w:rPr>
      </w:pPr>
      <w:r w:rsidRPr="009F64E9">
        <w:rPr>
          <w:rFonts w:ascii="Calibri" w:hAnsi="Calibri" w:cs="Calibri"/>
          <w:b/>
          <w:sz w:val="28"/>
          <w:szCs w:val="28"/>
        </w:rPr>
        <w:t>Adaptations apportées à la législation sur les mesures restrictives financières</w:t>
      </w:r>
    </w:p>
    <w:p w14:paraId="018E6CD3" w14:textId="77777777" w:rsidR="001274AA" w:rsidRPr="000A2056" w:rsidRDefault="001274AA" w:rsidP="001274AA">
      <w:pPr>
        <w:spacing w:after="0"/>
        <w:rPr>
          <w:rFonts w:ascii="Calibri" w:hAnsi="Calibri" w:cs="Calibri"/>
          <w:b/>
          <w:sz w:val="28"/>
          <w:szCs w:val="28"/>
          <w:u w:val="single"/>
        </w:rPr>
      </w:pPr>
    </w:p>
    <w:p w14:paraId="4FF180B7" w14:textId="77777777" w:rsidR="001274AA" w:rsidRPr="000A2056" w:rsidRDefault="001274AA" w:rsidP="001274AA">
      <w:pPr>
        <w:spacing w:after="0"/>
        <w:rPr>
          <w:rFonts w:ascii="Calibri" w:hAnsi="Calibri" w:cs="Calibri"/>
          <w:sz w:val="22"/>
        </w:rPr>
      </w:pPr>
    </w:p>
    <w:tbl>
      <w:tblPr>
        <w:tblStyle w:val="Tabelraster"/>
        <w:tblW w:w="0" w:type="auto"/>
        <w:shd w:val="clear" w:color="auto" w:fill="F2F2F2" w:themeFill="background1" w:themeFillShade="F2"/>
        <w:tblLook w:val="04A0" w:firstRow="1" w:lastRow="0" w:firstColumn="1" w:lastColumn="0" w:noHBand="0" w:noVBand="1"/>
      </w:tblPr>
      <w:tblGrid>
        <w:gridCol w:w="9062"/>
      </w:tblGrid>
      <w:tr w:rsidR="001274AA" w:rsidRPr="008136DC" w14:paraId="40495D24" w14:textId="77777777" w:rsidTr="00A86285">
        <w:tc>
          <w:tcPr>
            <w:tcW w:w="9062" w:type="dxa"/>
            <w:shd w:val="clear" w:color="auto" w:fill="F2F2F2" w:themeFill="background2" w:themeFillShade="F2"/>
          </w:tcPr>
          <w:p w14:paraId="7EE3D0CF" w14:textId="77777777" w:rsidR="001274AA" w:rsidRDefault="001274AA" w:rsidP="00A86285">
            <w:pPr>
              <w:spacing w:line="259" w:lineRule="auto"/>
              <w:rPr>
                <w:rFonts w:ascii="Calibri" w:hAnsi="Calibri" w:cs="Calibri"/>
                <w:sz w:val="22"/>
              </w:rPr>
            </w:pPr>
            <w:bookmarkStart w:id="0" w:name="_Hlk530746634"/>
          </w:p>
          <w:p w14:paraId="04CE82D3" w14:textId="77777777" w:rsidR="001274AA" w:rsidRPr="000A2056" w:rsidRDefault="001274AA" w:rsidP="00A86285">
            <w:pPr>
              <w:spacing w:line="259" w:lineRule="auto"/>
              <w:rPr>
                <w:rFonts w:ascii="Calibri" w:hAnsi="Calibri" w:cs="Calibri"/>
                <w:sz w:val="22"/>
              </w:rPr>
            </w:pPr>
          </w:p>
          <w:p w14:paraId="6F4826C1" w14:textId="77777777" w:rsidR="009F64E9" w:rsidRPr="00A9245E" w:rsidRDefault="001274AA" w:rsidP="00A86285">
            <w:pPr>
              <w:rPr>
                <w:rFonts w:ascii="Calibri" w:hAnsi="Calibri" w:cs="Calibri"/>
                <w:szCs w:val="20"/>
              </w:rPr>
            </w:pPr>
            <w:r w:rsidRPr="00A9245E">
              <w:rPr>
                <w:rFonts w:ascii="Calibri" w:hAnsi="Calibri" w:cs="Calibri"/>
                <w:szCs w:val="20"/>
              </w:rPr>
              <w:t xml:space="preserve">Le 21 mai 2019, la </w:t>
            </w:r>
            <w:hyperlink r:id="rId11" w:history="1">
              <w:r w:rsidRPr="00A9245E">
                <w:rPr>
                  <w:rStyle w:val="Hyperlink"/>
                  <w:rFonts w:ascii="Calibri" w:hAnsi="Calibri" w:cs="Calibri"/>
                  <w:szCs w:val="20"/>
                </w:rPr>
                <w:t>loi du 2 mai 2019</w:t>
              </w:r>
            </w:hyperlink>
            <w:r w:rsidRPr="00A9245E">
              <w:rPr>
                <w:rFonts w:ascii="Calibri" w:hAnsi="Calibri" w:cs="Calibri"/>
                <w:szCs w:val="20"/>
              </w:rPr>
              <w:t xml:space="preserve"> portant des dispositions financières diverses a été publiée au Moniteur belge. Cette loi apporte notamment les modifications suivantes sur le plan des mesures restrictives </w:t>
            </w:r>
          </w:p>
          <w:p w14:paraId="017D823E" w14:textId="31BE5ED0" w:rsidR="001274AA" w:rsidRPr="00A9245E" w:rsidRDefault="001274AA" w:rsidP="00A86285">
            <w:pPr>
              <w:rPr>
                <w:rFonts w:ascii="Calibri" w:hAnsi="Calibri" w:cs="Calibri"/>
                <w:szCs w:val="20"/>
              </w:rPr>
            </w:pPr>
            <w:r w:rsidRPr="00A9245E">
              <w:rPr>
                <w:rFonts w:ascii="Calibri" w:hAnsi="Calibri" w:cs="Calibri"/>
                <w:szCs w:val="20"/>
              </w:rPr>
              <w:t>financières :</w:t>
            </w:r>
          </w:p>
          <w:p w14:paraId="46FA30BB" w14:textId="77777777" w:rsidR="001274AA" w:rsidRPr="00A9245E" w:rsidRDefault="001274AA" w:rsidP="00A86285">
            <w:pPr>
              <w:rPr>
                <w:rFonts w:ascii="Calibri" w:hAnsi="Calibri" w:cs="Calibri"/>
                <w:szCs w:val="20"/>
              </w:rPr>
            </w:pPr>
          </w:p>
          <w:p w14:paraId="072C5639" w14:textId="77777777" w:rsidR="001274AA" w:rsidRPr="00A9245E" w:rsidRDefault="001274AA" w:rsidP="001274AA">
            <w:pPr>
              <w:pStyle w:val="Lijstalinea"/>
              <w:numPr>
                <w:ilvl w:val="0"/>
                <w:numId w:val="1"/>
              </w:numPr>
              <w:jc w:val="left"/>
              <w:rPr>
                <w:rFonts w:ascii="Calibri" w:hAnsi="Calibri" w:cs="Calibri"/>
                <w:szCs w:val="20"/>
              </w:rPr>
            </w:pPr>
            <w:r w:rsidRPr="00A9245E">
              <w:rPr>
                <w:rFonts w:ascii="Calibri" w:hAnsi="Calibri" w:cs="Calibri"/>
                <w:szCs w:val="20"/>
              </w:rPr>
              <w:t>Les mesures de gel imposées par le Conseil de sécurité des NU doivent être mises en œuvre immédiatement en Belgique, sans que ces mesures doivent être confirmées par un arrêté ministériel.</w:t>
            </w:r>
          </w:p>
          <w:p w14:paraId="4AF470F1" w14:textId="77777777" w:rsidR="001274AA" w:rsidRPr="00A9245E" w:rsidRDefault="001274AA" w:rsidP="00A86285">
            <w:pPr>
              <w:ind w:left="360"/>
              <w:rPr>
                <w:rFonts w:ascii="Calibri" w:hAnsi="Calibri" w:cs="Calibri"/>
                <w:szCs w:val="20"/>
              </w:rPr>
            </w:pPr>
          </w:p>
          <w:p w14:paraId="1E9DBC26" w14:textId="77777777" w:rsidR="001274AA" w:rsidRPr="00A9245E" w:rsidRDefault="001274AA" w:rsidP="001274AA">
            <w:pPr>
              <w:pStyle w:val="Lijstalinea"/>
              <w:numPr>
                <w:ilvl w:val="0"/>
                <w:numId w:val="1"/>
              </w:numPr>
              <w:jc w:val="left"/>
              <w:rPr>
                <w:rFonts w:ascii="Calibri" w:hAnsi="Calibri" w:cs="Calibri"/>
                <w:szCs w:val="20"/>
              </w:rPr>
            </w:pPr>
            <w:r w:rsidRPr="00A9245E">
              <w:rPr>
                <w:rFonts w:ascii="Calibri" w:hAnsi="Calibri" w:cs="Calibri"/>
                <w:szCs w:val="20"/>
              </w:rPr>
              <w:t>La mise en œuvre du Règlement européen 2271/96 aussi appelé « Règlement de blocage» afin de protéger les entreprises européennes contre entre autres les conséquences extraterritoriales des nouvelles mesures prises par les États-Unis contre l'Iran,</w:t>
            </w:r>
          </w:p>
          <w:p w14:paraId="2447B52E" w14:textId="77777777" w:rsidR="001274AA" w:rsidRPr="00A9245E" w:rsidRDefault="001274AA" w:rsidP="00A86285">
            <w:pPr>
              <w:jc w:val="left"/>
              <w:rPr>
                <w:rFonts w:ascii="Calibri" w:hAnsi="Calibri" w:cs="Calibri"/>
                <w:szCs w:val="20"/>
              </w:rPr>
            </w:pPr>
            <w:r w:rsidRPr="00A9245E">
              <w:rPr>
                <w:rFonts w:ascii="Calibri" w:hAnsi="Calibri" w:cs="Calibri"/>
                <w:szCs w:val="20"/>
              </w:rPr>
              <w:t xml:space="preserve"> </w:t>
            </w:r>
          </w:p>
          <w:p w14:paraId="6DFE621A" w14:textId="77777777" w:rsidR="001274AA" w:rsidRPr="00A9245E" w:rsidRDefault="001274AA" w:rsidP="001274AA">
            <w:pPr>
              <w:pStyle w:val="Lijstalinea"/>
              <w:numPr>
                <w:ilvl w:val="0"/>
                <w:numId w:val="1"/>
              </w:numPr>
              <w:jc w:val="left"/>
              <w:rPr>
                <w:rFonts w:ascii="Calibri" w:hAnsi="Calibri" w:cs="Calibri"/>
                <w:szCs w:val="20"/>
              </w:rPr>
            </w:pPr>
            <w:r w:rsidRPr="00A9245E">
              <w:rPr>
                <w:rFonts w:ascii="Calibri" w:hAnsi="Calibri" w:cs="Calibri"/>
                <w:szCs w:val="20"/>
              </w:rPr>
              <w:t>Il est précisé que l'Administration générale de la Trésorerie du SPF Finances est compétente pour rechercher et constater les infractions aux mesures restrictives financières.</w:t>
            </w:r>
          </w:p>
          <w:p w14:paraId="530668B8" w14:textId="77777777" w:rsidR="001274AA" w:rsidRPr="00A9245E" w:rsidRDefault="001274AA" w:rsidP="00A86285">
            <w:pPr>
              <w:rPr>
                <w:rFonts w:ascii="Calibri" w:hAnsi="Calibri" w:cs="Calibri"/>
                <w:szCs w:val="20"/>
              </w:rPr>
            </w:pPr>
          </w:p>
          <w:p w14:paraId="37EC3CA0" w14:textId="77777777" w:rsidR="001274AA" w:rsidRPr="00A9245E" w:rsidRDefault="001274AA" w:rsidP="00A86285">
            <w:pPr>
              <w:rPr>
                <w:rFonts w:ascii="Calibri" w:hAnsi="Calibri" w:cs="Calibri"/>
                <w:szCs w:val="20"/>
              </w:rPr>
            </w:pPr>
            <w:r w:rsidRPr="00A9245E">
              <w:rPr>
                <w:rFonts w:ascii="Calibri" w:hAnsi="Calibri" w:cs="Calibri"/>
                <w:szCs w:val="20"/>
              </w:rPr>
              <w:t>La nouvelle réglementation est entrée en vigueur le 31 mai 2019.</w:t>
            </w:r>
          </w:p>
          <w:p w14:paraId="7CDEA189" w14:textId="77777777" w:rsidR="001274AA" w:rsidRPr="00A9245E" w:rsidRDefault="001274AA" w:rsidP="00A86285">
            <w:pPr>
              <w:rPr>
                <w:rFonts w:ascii="Calibri" w:hAnsi="Calibri" w:cs="Calibri"/>
                <w:szCs w:val="20"/>
              </w:rPr>
            </w:pPr>
          </w:p>
          <w:p w14:paraId="03E7F5B1" w14:textId="77777777" w:rsidR="001274AA" w:rsidRPr="00A9245E" w:rsidRDefault="001274AA" w:rsidP="00A86285">
            <w:pPr>
              <w:rPr>
                <w:rFonts w:ascii="Calibri" w:hAnsi="Calibri" w:cs="Calibri"/>
                <w:szCs w:val="20"/>
              </w:rPr>
            </w:pPr>
            <w:r w:rsidRPr="00A9245E">
              <w:rPr>
                <w:rFonts w:ascii="Calibri" w:hAnsi="Calibri" w:cs="Calibri"/>
                <w:szCs w:val="20"/>
              </w:rPr>
              <w:t>Vous trouverez ci-dessous une explication détaillée de ces adaptations.</w:t>
            </w:r>
          </w:p>
          <w:p w14:paraId="74C93095" w14:textId="77777777" w:rsidR="001274AA" w:rsidRPr="000A2056" w:rsidRDefault="001274AA" w:rsidP="00A86285">
            <w:pPr>
              <w:spacing w:line="259" w:lineRule="auto"/>
              <w:rPr>
                <w:rFonts w:ascii="Calibri" w:hAnsi="Calibri" w:cs="Calibri"/>
                <w:sz w:val="22"/>
              </w:rPr>
            </w:pPr>
          </w:p>
          <w:p w14:paraId="6559C78D" w14:textId="77777777" w:rsidR="001274AA" w:rsidRPr="000A2056" w:rsidRDefault="001274AA" w:rsidP="00A86285">
            <w:pPr>
              <w:spacing w:line="259" w:lineRule="auto"/>
              <w:rPr>
                <w:rFonts w:ascii="Calibri" w:hAnsi="Calibri" w:cs="Calibri"/>
                <w:sz w:val="22"/>
              </w:rPr>
            </w:pPr>
          </w:p>
        </w:tc>
      </w:tr>
      <w:bookmarkEnd w:id="0"/>
    </w:tbl>
    <w:p w14:paraId="4CA0358D" w14:textId="126D1B33" w:rsidR="001274AA" w:rsidRDefault="001274AA" w:rsidP="00934249">
      <w:pPr>
        <w:pStyle w:val="Kop6"/>
      </w:pPr>
    </w:p>
    <w:p w14:paraId="7EB937A2" w14:textId="77777777" w:rsidR="001274AA" w:rsidRDefault="001274AA">
      <w:pPr>
        <w:jc w:val="left"/>
        <w:rPr>
          <w:rFonts w:eastAsiaTheme="majorEastAsia" w:cstheme="majorBidi"/>
          <w:color w:val="97509A" w:themeColor="accent1"/>
          <w:sz w:val="22"/>
        </w:rPr>
      </w:pPr>
      <w:r>
        <w:br w:type="page"/>
      </w:r>
    </w:p>
    <w:p w14:paraId="044453A3" w14:textId="77777777" w:rsidR="001274AA" w:rsidRPr="002403D9" w:rsidRDefault="001274AA" w:rsidP="001274AA">
      <w:pPr>
        <w:spacing w:after="0"/>
        <w:rPr>
          <w:rFonts w:ascii="Calibri" w:hAnsi="Calibri" w:cs="Calibri"/>
          <w:b/>
          <w:sz w:val="22"/>
        </w:rPr>
      </w:pPr>
      <w:r w:rsidRPr="002403D9">
        <w:rPr>
          <w:rFonts w:ascii="Calibri" w:hAnsi="Calibri" w:cs="Calibri"/>
          <w:b/>
          <w:sz w:val="22"/>
        </w:rPr>
        <w:lastRenderedPageBreak/>
        <w:t>Mise en œuvre immédiate des mesures de gel fixées par le Conseil de sécurité des Nations Unies.</w:t>
      </w:r>
    </w:p>
    <w:p w14:paraId="4C49516E" w14:textId="77777777" w:rsidR="001274AA" w:rsidRPr="009F64E9" w:rsidRDefault="001274AA" w:rsidP="001274AA">
      <w:pPr>
        <w:spacing w:after="0"/>
        <w:rPr>
          <w:rFonts w:ascii="Calibri" w:hAnsi="Calibri" w:cs="Calibri"/>
          <w:sz w:val="22"/>
        </w:rPr>
      </w:pPr>
    </w:p>
    <w:p w14:paraId="33C5D229" w14:textId="77777777" w:rsidR="001274AA" w:rsidRPr="00A9245E" w:rsidRDefault="001274AA" w:rsidP="001274AA">
      <w:pPr>
        <w:spacing w:after="0"/>
        <w:rPr>
          <w:rFonts w:ascii="Calibri" w:hAnsi="Calibri" w:cs="Calibri"/>
          <w:sz w:val="22"/>
        </w:rPr>
      </w:pPr>
      <w:r w:rsidRPr="00A9245E">
        <w:rPr>
          <w:rFonts w:ascii="Calibri" w:hAnsi="Calibri" w:cs="Calibri"/>
          <w:sz w:val="22"/>
        </w:rPr>
        <w:t xml:space="preserve">Le Conseil de sécurité des Nations Unies a adopté de nombreuses résolutions imposant des sanctions aux gouvernements, personnes ou entités. Ces </w:t>
      </w:r>
      <w:hyperlink r:id="rId12" w:history="1">
        <w:r w:rsidRPr="00A9245E">
          <w:rPr>
            <w:rStyle w:val="Hyperlink"/>
            <w:rFonts w:ascii="Calibri" w:hAnsi="Calibri" w:cs="Calibri"/>
            <w:sz w:val="22"/>
          </w:rPr>
          <w:t>régimes de sanctions des NU</w:t>
        </w:r>
      </w:hyperlink>
      <w:r w:rsidRPr="00A9245E">
        <w:rPr>
          <w:rFonts w:ascii="Calibri" w:hAnsi="Calibri" w:cs="Calibri"/>
          <w:sz w:val="22"/>
        </w:rPr>
        <w:t xml:space="preserve"> sont transposés par l’Union Européenne en droit européen, ce qui les rend immédiatement applicables en Belgique.</w:t>
      </w:r>
    </w:p>
    <w:p w14:paraId="471C49A2" w14:textId="77777777" w:rsidR="001274AA" w:rsidRPr="00A9245E" w:rsidRDefault="001274AA" w:rsidP="001274AA">
      <w:pPr>
        <w:spacing w:after="0"/>
        <w:rPr>
          <w:rFonts w:ascii="Calibri" w:hAnsi="Calibri" w:cs="Calibri"/>
          <w:sz w:val="22"/>
        </w:rPr>
      </w:pPr>
    </w:p>
    <w:p w14:paraId="2341A46B" w14:textId="77777777" w:rsidR="001274AA" w:rsidRPr="00A9245E" w:rsidRDefault="001274AA" w:rsidP="001274AA">
      <w:pPr>
        <w:spacing w:after="0"/>
        <w:rPr>
          <w:rFonts w:ascii="Calibri" w:hAnsi="Calibri" w:cs="Calibri"/>
          <w:sz w:val="22"/>
        </w:rPr>
      </w:pPr>
      <w:r w:rsidRPr="00A9245E">
        <w:rPr>
          <w:rFonts w:ascii="Calibri" w:hAnsi="Calibri" w:cs="Calibri"/>
          <w:sz w:val="22"/>
        </w:rPr>
        <w:t>Dans le cadre de ces régimes de sanctions, le Conseil de sécurité des NU ajoute régulièrement des noms aux listes des personnes et entités dont les avoirs doivent être gelés. Pour que cette mesure de gel soit efficace, le gel des avoirs doit être appliqué immédiatement, faute de quoi les personnes et entités visées auront la possibilité de protéger leurs avoirs.</w:t>
      </w:r>
    </w:p>
    <w:p w14:paraId="284D6B2C" w14:textId="77777777" w:rsidR="001274AA" w:rsidRPr="00A9245E" w:rsidRDefault="001274AA" w:rsidP="001274AA">
      <w:pPr>
        <w:spacing w:after="0"/>
        <w:rPr>
          <w:rFonts w:ascii="Calibri" w:hAnsi="Calibri" w:cs="Calibri"/>
          <w:sz w:val="22"/>
        </w:rPr>
      </w:pPr>
    </w:p>
    <w:p w14:paraId="3D1549B5" w14:textId="77777777" w:rsidR="001274AA" w:rsidRPr="00A9245E" w:rsidRDefault="001274AA" w:rsidP="001274AA">
      <w:pPr>
        <w:spacing w:after="0"/>
        <w:rPr>
          <w:rFonts w:ascii="Calibri" w:hAnsi="Calibri" w:cs="Calibri"/>
          <w:sz w:val="22"/>
        </w:rPr>
      </w:pPr>
      <w:r w:rsidRPr="00A9245E">
        <w:rPr>
          <w:rFonts w:ascii="Calibri" w:hAnsi="Calibri" w:cs="Calibri"/>
          <w:sz w:val="22"/>
        </w:rPr>
        <w:t>Par le passé, après chaque inscription d'une personne ou d'une entité sur une liste de sanctions des NU, le ministre des Finances prenait un arrêté ministériel gelant les avoirs de cette personne ou entité en Belgique à partir de la décision du Conseil de sécurité des NU jusqu'à la transposition de cette décision en droit européen.</w:t>
      </w:r>
    </w:p>
    <w:p w14:paraId="74B96C9B" w14:textId="77777777" w:rsidR="001274AA" w:rsidRPr="00A9245E" w:rsidRDefault="001274AA" w:rsidP="001274AA">
      <w:pPr>
        <w:spacing w:after="0"/>
        <w:rPr>
          <w:rFonts w:ascii="Calibri" w:hAnsi="Calibri" w:cs="Calibri"/>
          <w:sz w:val="22"/>
        </w:rPr>
      </w:pPr>
    </w:p>
    <w:p w14:paraId="514A1F10" w14:textId="77777777" w:rsidR="00811B15" w:rsidRPr="00A9245E" w:rsidRDefault="00811B15" w:rsidP="00811B15">
      <w:pPr>
        <w:spacing w:after="0"/>
        <w:rPr>
          <w:rFonts w:ascii="Calibri" w:hAnsi="Calibri" w:cs="Calibri"/>
          <w:sz w:val="22"/>
        </w:rPr>
      </w:pPr>
      <w:r w:rsidRPr="00A9245E">
        <w:rPr>
          <w:rFonts w:ascii="Calibri" w:hAnsi="Calibri" w:cs="Calibri"/>
          <w:sz w:val="22"/>
        </w:rPr>
        <w:t xml:space="preserve">Cette approche était non seulement administrativement lourde, mais était encore jugée, dans un </w:t>
      </w:r>
      <w:hyperlink r:id="rId13" w:history="1">
        <w:r w:rsidRPr="00A9245E">
          <w:rPr>
            <w:rStyle w:val="Hyperlink"/>
            <w:rFonts w:ascii="Calibri" w:hAnsi="Calibri" w:cs="Calibri"/>
            <w:sz w:val="22"/>
          </w:rPr>
          <w:t>rapport de suivi</w:t>
        </w:r>
      </w:hyperlink>
      <w:r w:rsidRPr="00A9245E">
        <w:rPr>
          <w:rFonts w:ascii="Calibri" w:hAnsi="Calibri" w:cs="Calibri"/>
          <w:sz w:val="22"/>
        </w:rPr>
        <w:t xml:space="preserve"> du </w:t>
      </w:r>
      <w:hyperlink r:id="rId14" w:history="1">
        <w:r w:rsidRPr="00A9245E">
          <w:rPr>
            <w:rStyle w:val="Hyperlink"/>
            <w:rFonts w:ascii="Calibri" w:hAnsi="Calibri" w:cs="Calibri"/>
            <w:sz w:val="22"/>
          </w:rPr>
          <w:t>Groupe d’action financière</w:t>
        </w:r>
      </w:hyperlink>
      <w:r w:rsidRPr="00A9245E">
        <w:rPr>
          <w:rFonts w:ascii="Calibri" w:hAnsi="Calibri" w:cs="Calibri"/>
          <w:sz w:val="22"/>
        </w:rPr>
        <w:t xml:space="preserve"> (GAFI),  insuffisamment efficace pour respecter  l'obligation internationale d'appliquer immédiatement les mesures de gel du Conseil de sécurité des NU en Belgique. </w:t>
      </w:r>
    </w:p>
    <w:p w14:paraId="7753E49B" w14:textId="77777777" w:rsidR="001274AA" w:rsidRPr="00A9245E" w:rsidRDefault="001274AA" w:rsidP="001274AA">
      <w:pPr>
        <w:spacing w:after="0"/>
        <w:rPr>
          <w:rFonts w:ascii="Calibri" w:hAnsi="Calibri" w:cs="Calibri"/>
          <w:sz w:val="22"/>
        </w:rPr>
      </w:pPr>
    </w:p>
    <w:p w14:paraId="687603A5" w14:textId="77777777" w:rsidR="001274AA" w:rsidRPr="00A9245E" w:rsidRDefault="001274AA" w:rsidP="001274AA">
      <w:pPr>
        <w:spacing w:after="0"/>
        <w:rPr>
          <w:rFonts w:ascii="Calibri" w:hAnsi="Calibri" w:cs="Calibri"/>
          <w:sz w:val="22"/>
        </w:rPr>
      </w:pPr>
      <w:bookmarkStart w:id="1" w:name="_Hlk9586386"/>
      <w:r w:rsidRPr="00A9245E">
        <w:rPr>
          <w:rFonts w:ascii="Calibri" w:hAnsi="Calibri" w:cs="Calibri"/>
          <w:sz w:val="22"/>
        </w:rPr>
        <w:t xml:space="preserve">Le titre VIII (art. 235 à 240) de la loi du 2 mai 2019 portant des dispositions financières diverses </w:t>
      </w:r>
      <w:bookmarkEnd w:id="1"/>
      <w:r w:rsidRPr="00A9245E">
        <w:rPr>
          <w:rFonts w:ascii="Calibri" w:hAnsi="Calibri" w:cs="Calibri"/>
          <w:sz w:val="22"/>
        </w:rPr>
        <w:t xml:space="preserve">comble cette lacune en abrogeant le système des arrêtés ministériels (art. 238) et en prévoyant que les mesures de gel adoptées par le Conseil de sécurité des NU doivent être mises en </w:t>
      </w:r>
      <w:proofErr w:type="spellStart"/>
      <w:r w:rsidRPr="00A9245E">
        <w:rPr>
          <w:rFonts w:ascii="Calibri" w:hAnsi="Calibri" w:cs="Calibri"/>
          <w:sz w:val="22"/>
        </w:rPr>
        <w:t>oeuvre</w:t>
      </w:r>
      <w:proofErr w:type="spellEnd"/>
      <w:r w:rsidRPr="00A9245E">
        <w:rPr>
          <w:rFonts w:ascii="Calibri" w:hAnsi="Calibri" w:cs="Calibri"/>
          <w:sz w:val="22"/>
        </w:rPr>
        <w:t xml:space="preserve"> à compter du moment où elles sont adoptées par celui-ci (article 236).</w:t>
      </w:r>
    </w:p>
    <w:p w14:paraId="1276BC2B" w14:textId="77777777" w:rsidR="001274AA" w:rsidRPr="00A9245E" w:rsidRDefault="001274AA" w:rsidP="001274AA">
      <w:pPr>
        <w:spacing w:after="0"/>
        <w:rPr>
          <w:rFonts w:ascii="Calibri" w:hAnsi="Calibri" w:cs="Calibri"/>
          <w:sz w:val="22"/>
        </w:rPr>
      </w:pPr>
    </w:p>
    <w:p w14:paraId="701D6E52" w14:textId="1A2B833B" w:rsidR="001274AA" w:rsidRPr="00A9245E" w:rsidRDefault="001274AA" w:rsidP="001274AA">
      <w:pPr>
        <w:spacing w:after="0"/>
        <w:rPr>
          <w:rFonts w:ascii="Calibri" w:hAnsi="Calibri" w:cs="Calibri"/>
          <w:sz w:val="22"/>
        </w:rPr>
      </w:pPr>
      <w:r w:rsidRPr="00A9245E">
        <w:rPr>
          <w:rFonts w:ascii="Calibri" w:hAnsi="Calibri" w:cs="Calibri"/>
          <w:sz w:val="22"/>
        </w:rPr>
        <w:t xml:space="preserve">Même si, par le passé, les arrêtés ministériels imposaient déjà l'obligation d'appliquer immédiatement les mesures de gel des NU, cette nouvelle réglementation apporte une plus grande sécurité juridique. Il n'est plus nécessaire d'attendre la publication de l’arrêté ministériel pour être sûr à 100% que la mesure de gel des NU </w:t>
      </w:r>
      <w:r w:rsidR="00811B15" w:rsidRPr="00A9245E">
        <w:rPr>
          <w:rFonts w:ascii="Calibri" w:hAnsi="Calibri" w:cs="Calibri"/>
          <w:sz w:val="22"/>
        </w:rPr>
        <w:t xml:space="preserve">doive être </w:t>
      </w:r>
      <w:r w:rsidRPr="00A9245E">
        <w:rPr>
          <w:rFonts w:ascii="Calibri" w:hAnsi="Calibri" w:cs="Calibri"/>
          <w:sz w:val="22"/>
        </w:rPr>
        <w:t>appliquée immédiatement.</w:t>
      </w:r>
    </w:p>
    <w:p w14:paraId="341E428A" w14:textId="77777777" w:rsidR="001274AA" w:rsidRPr="00A9245E" w:rsidRDefault="001274AA" w:rsidP="001274AA">
      <w:pPr>
        <w:spacing w:after="0"/>
        <w:rPr>
          <w:rFonts w:ascii="Calibri" w:hAnsi="Calibri" w:cs="Calibri"/>
          <w:sz w:val="22"/>
        </w:rPr>
      </w:pPr>
    </w:p>
    <w:p w14:paraId="07EB80A0" w14:textId="77777777" w:rsidR="001274AA" w:rsidRPr="00A9245E" w:rsidRDefault="001274AA" w:rsidP="001274AA">
      <w:pPr>
        <w:spacing w:after="0"/>
        <w:rPr>
          <w:rFonts w:ascii="Calibri" w:hAnsi="Calibri" w:cs="Calibri"/>
          <w:sz w:val="22"/>
        </w:rPr>
      </w:pPr>
      <w:r w:rsidRPr="00A9245E">
        <w:rPr>
          <w:rFonts w:ascii="Calibri" w:hAnsi="Calibri" w:cs="Calibri"/>
          <w:sz w:val="22"/>
        </w:rPr>
        <w:t>Les infractions à l'obligation d'appliquer immédiatement les mesures de gel des NU sont punies d’un emprisonnement de huit jours à cinq ans et d'une amende de 25 à 25 000 euros (art. 237).</w:t>
      </w:r>
    </w:p>
    <w:p w14:paraId="70B24174" w14:textId="77777777" w:rsidR="001274AA" w:rsidRPr="00A9245E" w:rsidRDefault="001274AA" w:rsidP="001274AA">
      <w:pPr>
        <w:spacing w:after="0"/>
        <w:rPr>
          <w:rFonts w:ascii="Calibri" w:hAnsi="Calibri" w:cs="Calibri"/>
          <w:sz w:val="22"/>
        </w:rPr>
      </w:pPr>
    </w:p>
    <w:p w14:paraId="0185FC5A" w14:textId="77777777" w:rsidR="001274AA" w:rsidRPr="00A9245E" w:rsidRDefault="001274AA" w:rsidP="001274AA">
      <w:pPr>
        <w:spacing w:after="0"/>
        <w:rPr>
          <w:rFonts w:ascii="Calibri" w:hAnsi="Calibri" w:cs="Calibri"/>
          <w:sz w:val="22"/>
        </w:rPr>
      </w:pPr>
      <w:r w:rsidRPr="00A9245E">
        <w:rPr>
          <w:rFonts w:ascii="Calibri" w:hAnsi="Calibri" w:cs="Calibri"/>
          <w:sz w:val="22"/>
        </w:rPr>
        <w:t xml:space="preserve">Enfin l’article 5 de </w:t>
      </w:r>
      <w:hyperlink r:id="rId15" w:history="1">
        <w:r w:rsidRPr="00A9245E">
          <w:rPr>
            <w:rStyle w:val="Hyperlink"/>
            <w:rFonts w:ascii="Calibri" w:hAnsi="Calibri" w:cs="Calibri"/>
            <w:sz w:val="22"/>
          </w:rPr>
          <w:t>la loi du 11 mai 1995</w:t>
        </w:r>
      </w:hyperlink>
      <w:r w:rsidRPr="00A9245E">
        <w:rPr>
          <w:rFonts w:ascii="Calibri" w:hAnsi="Calibri" w:cs="Calibri"/>
          <w:sz w:val="22"/>
        </w:rPr>
        <w:t xml:space="preserve"> a été adapté pour préciser que l'Administration générale de la Trésorerie du SPF Finances est compétente pour rechercher et constater les infractions aux mesures restrictives financières (art. 240).</w:t>
      </w:r>
    </w:p>
    <w:p w14:paraId="0C2EA9E4" w14:textId="77777777" w:rsidR="001274AA" w:rsidRPr="00A9245E" w:rsidRDefault="001274AA" w:rsidP="001274AA">
      <w:pPr>
        <w:spacing w:after="0"/>
        <w:rPr>
          <w:rFonts w:ascii="Calibri" w:hAnsi="Calibri" w:cs="Calibri"/>
          <w:sz w:val="22"/>
        </w:rPr>
      </w:pPr>
    </w:p>
    <w:p w14:paraId="75385536" w14:textId="6E4BCC01" w:rsidR="001274AA" w:rsidRPr="00A9245E" w:rsidRDefault="001274AA" w:rsidP="001274AA">
      <w:pPr>
        <w:spacing w:after="0"/>
        <w:rPr>
          <w:rFonts w:ascii="Calibri" w:hAnsi="Calibri" w:cs="Calibri"/>
          <w:sz w:val="22"/>
        </w:rPr>
      </w:pPr>
      <w:r w:rsidRPr="00A9245E">
        <w:rPr>
          <w:rFonts w:ascii="Calibri" w:hAnsi="Calibri" w:cs="Calibri"/>
          <w:sz w:val="22"/>
        </w:rPr>
        <w:t xml:space="preserve">Pour </w:t>
      </w:r>
      <w:r w:rsidR="00811B15" w:rsidRPr="00A9245E">
        <w:rPr>
          <w:rFonts w:ascii="Calibri" w:hAnsi="Calibri" w:cs="Calibri"/>
          <w:sz w:val="22"/>
        </w:rPr>
        <w:t>rester</w:t>
      </w:r>
      <w:r w:rsidRPr="00A9245E">
        <w:rPr>
          <w:rFonts w:ascii="Calibri" w:hAnsi="Calibri" w:cs="Calibri"/>
          <w:sz w:val="22"/>
        </w:rPr>
        <w:t xml:space="preserve"> au courant des ajouts de noms de personnes et d'entités dont les avoirs doivent être gelés dans le cadre des régimes de sanctions mis en place pour la lutte contre le financement du terrorisme ou la prolifération des armes de destruction massive, vous pouvez vous abonner à la lettre d'information de la Trésorerie</w:t>
      </w:r>
      <w:r w:rsidR="00811B15" w:rsidRPr="00A9245E">
        <w:rPr>
          <w:rFonts w:ascii="Calibri" w:hAnsi="Calibri" w:cs="Calibri"/>
          <w:sz w:val="22"/>
        </w:rPr>
        <w:t xml:space="preserve"> via </w:t>
      </w:r>
      <w:hyperlink r:id="rId16" w:history="1">
        <w:r w:rsidR="00811B15" w:rsidRPr="00A9245E">
          <w:rPr>
            <w:rStyle w:val="Hyperlink"/>
            <w:rFonts w:ascii="Calibri" w:hAnsi="Calibri" w:cs="Calibri"/>
            <w:sz w:val="22"/>
          </w:rPr>
          <w:t>quesfinvragen.tf@minfin.fed.be</w:t>
        </w:r>
      </w:hyperlink>
      <w:r w:rsidRPr="00A9245E">
        <w:rPr>
          <w:rFonts w:ascii="Calibri" w:hAnsi="Calibri" w:cs="Calibri"/>
          <w:sz w:val="22"/>
        </w:rPr>
        <w:t xml:space="preserve">. </w:t>
      </w:r>
    </w:p>
    <w:p w14:paraId="0D29E59B" w14:textId="77777777" w:rsidR="001274AA" w:rsidRPr="000B03E5" w:rsidRDefault="001274AA" w:rsidP="001274AA">
      <w:pPr>
        <w:spacing w:after="0"/>
        <w:rPr>
          <w:rFonts w:ascii="Calibri" w:hAnsi="Calibri" w:cs="Calibri"/>
          <w:sz w:val="22"/>
        </w:rPr>
      </w:pPr>
    </w:p>
    <w:p w14:paraId="1B5A133F" w14:textId="77777777" w:rsidR="001274AA" w:rsidRPr="000B03E5" w:rsidRDefault="001274AA" w:rsidP="001274AA">
      <w:pPr>
        <w:spacing w:after="0"/>
        <w:rPr>
          <w:rFonts w:ascii="Calibri" w:hAnsi="Calibri" w:cs="Calibri"/>
          <w:sz w:val="22"/>
        </w:rPr>
      </w:pPr>
    </w:p>
    <w:p w14:paraId="69A12A9B" w14:textId="77777777" w:rsidR="001274AA" w:rsidRDefault="001274AA" w:rsidP="001274AA">
      <w:pPr>
        <w:jc w:val="left"/>
        <w:rPr>
          <w:rFonts w:ascii="Calibri" w:hAnsi="Calibri" w:cs="Calibri"/>
          <w:sz w:val="22"/>
        </w:rPr>
      </w:pPr>
      <w:r>
        <w:br w:type="page"/>
      </w:r>
    </w:p>
    <w:p w14:paraId="66EC6A87" w14:textId="77777777" w:rsidR="001274AA" w:rsidRPr="009F64E9" w:rsidRDefault="001274AA" w:rsidP="001274AA">
      <w:pPr>
        <w:spacing w:after="0"/>
        <w:rPr>
          <w:rFonts w:ascii="Calibri" w:hAnsi="Calibri" w:cs="Calibri"/>
          <w:b/>
          <w:sz w:val="22"/>
        </w:rPr>
      </w:pPr>
      <w:r w:rsidRPr="009F64E9">
        <w:rPr>
          <w:rFonts w:ascii="Calibri" w:hAnsi="Calibri" w:cs="Calibri"/>
          <w:b/>
          <w:sz w:val="22"/>
        </w:rPr>
        <w:lastRenderedPageBreak/>
        <w:t xml:space="preserve">Mise en </w:t>
      </w:r>
      <w:proofErr w:type="spellStart"/>
      <w:r w:rsidRPr="009F64E9">
        <w:rPr>
          <w:rFonts w:ascii="Calibri" w:hAnsi="Calibri" w:cs="Calibri"/>
          <w:b/>
          <w:sz w:val="22"/>
        </w:rPr>
        <w:t>oeuvre</w:t>
      </w:r>
      <w:proofErr w:type="spellEnd"/>
      <w:r w:rsidRPr="009F64E9">
        <w:rPr>
          <w:rFonts w:ascii="Calibri" w:hAnsi="Calibri" w:cs="Calibri"/>
          <w:b/>
          <w:sz w:val="22"/>
        </w:rPr>
        <w:t xml:space="preserve"> du Règlement européen 2271/96 (Règlement de blocage)</w:t>
      </w:r>
    </w:p>
    <w:p w14:paraId="16BF9E4E" w14:textId="77777777" w:rsidR="001274AA" w:rsidRPr="009F64E9" w:rsidRDefault="001274AA" w:rsidP="001274AA">
      <w:pPr>
        <w:spacing w:after="0"/>
        <w:rPr>
          <w:rFonts w:ascii="Calibri" w:hAnsi="Calibri" w:cs="Calibri"/>
          <w:sz w:val="22"/>
        </w:rPr>
      </w:pPr>
    </w:p>
    <w:p w14:paraId="5028C0F8" w14:textId="77777777" w:rsidR="001274AA" w:rsidRPr="00A9245E" w:rsidRDefault="001274AA" w:rsidP="001274AA">
      <w:pPr>
        <w:spacing w:after="0"/>
        <w:rPr>
          <w:rFonts w:ascii="Calibri" w:hAnsi="Calibri" w:cs="Calibri"/>
          <w:sz w:val="22"/>
        </w:rPr>
      </w:pPr>
      <w:r w:rsidRPr="00A9245E">
        <w:rPr>
          <w:rFonts w:ascii="Calibri" w:hAnsi="Calibri" w:cs="Calibri"/>
          <w:sz w:val="22"/>
        </w:rPr>
        <w:t xml:space="preserve">L'année dernière, le président Trump a annoncé que les États-Unis se retireraient de l'accord nucléaire avec qui font du commerce avec l'Iran. l'Iran (JCPOA) et que certaines sanctions contre l'Iran seraient de nouveau appliquées. Certaines de ces mesures ont des effets extraterritoriaux et peuvent également affecter les entreprises européennes En conséquence, la Commission européenne a décidé d’activer l’ancien </w:t>
      </w:r>
      <w:hyperlink r:id="rId17" w:history="1">
        <w:r w:rsidRPr="00A9245E">
          <w:rPr>
            <w:rFonts w:ascii="Calibri" w:hAnsi="Calibri" w:cs="Calibri"/>
            <w:sz w:val="22"/>
          </w:rPr>
          <w:t>Règlement 2271/96</w:t>
        </w:r>
      </w:hyperlink>
      <w:r w:rsidRPr="00A9245E">
        <w:rPr>
          <w:rFonts w:ascii="Calibri" w:hAnsi="Calibri" w:cs="Calibri"/>
          <w:sz w:val="22"/>
        </w:rPr>
        <w:t xml:space="preserve"> portant protection contre les effets de l'application extraterritoriale d'une législation adoptée par un pays tiers, ainsi que des actions fondées sur elle ou en découlant (ledit «Règlement de blocage »), afin d'offrir une protection aux entreprises européennes. </w:t>
      </w:r>
    </w:p>
    <w:p w14:paraId="467FD17F" w14:textId="77777777" w:rsidR="001274AA" w:rsidRPr="00A9245E" w:rsidRDefault="001274AA" w:rsidP="001274AA">
      <w:pPr>
        <w:spacing w:after="0"/>
        <w:rPr>
          <w:rFonts w:ascii="Calibri" w:hAnsi="Calibri" w:cs="Calibri"/>
          <w:sz w:val="22"/>
        </w:rPr>
      </w:pPr>
    </w:p>
    <w:p w14:paraId="3094C217" w14:textId="77777777" w:rsidR="001274AA" w:rsidRPr="00A9245E" w:rsidRDefault="001274AA" w:rsidP="001274AA">
      <w:pPr>
        <w:spacing w:after="0"/>
        <w:rPr>
          <w:rFonts w:ascii="Calibri" w:hAnsi="Calibri" w:cs="Calibri"/>
          <w:sz w:val="22"/>
        </w:rPr>
      </w:pPr>
      <w:r w:rsidRPr="00A9245E">
        <w:rPr>
          <w:rFonts w:ascii="Calibri" w:hAnsi="Calibri" w:cs="Calibri"/>
          <w:sz w:val="22"/>
        </w:rPr>
        <w:t>Sur la base du règlement (CE) n° 2271/96, les entreprises de l'UE peuvent éviter les effets extraterritoriaux des sanctions imposées par des pays tiers (en l'occurrence les sanctions imposées par les États-Unis à l’égard de l'Iran et de Cuba) et elles ont le droit de réclamer des dommages à la suite de ces sanctions, via un tribunal de l’UE, à la personne ayant causé les dommages. Les décisions des tribunaux étrangers fondées sur ces sanctions sont annulées en ce qui concerne leur application dans l'UE.</w:t>
      </w:r>
    </w:p>
    <w:p w14:paraId="55E6B4BC" w14:textId="77777777" w:rsidR="001274AA" w:rsidRPr="00A9245E" w:rsidRDefault="001274AA" w:rsidP="001274AA">
      <w:pPr>
        <w:spacing w:after="0"/>
        <w:rPr>
          <w:rFonts w:ascii="Calibri" w:hAnsi="Calibri" w:cs="Calibri"/>
          <w:sz w:val="22"/>
        </w:rPr>
      </w:pPr>
    </w:p>
    <w:p w14:paraId="0EB07BF9" w14:textId="77777777" w:rsidR="001274AA" w:rsidRPr="00A9245E" w:rsidRDefault="001274AA" w:rsidP="001274AA">
      <w:pPr>
        <w:spacing w:after="0"/>
        <w:rPr>
          <w:rFonts w:ascii="Calibri" w:hAnsi="Calibri" w:cs="Calibri"/>
          <w:sz w:val="22"/>
        </w:rPr>
      </w:pPr>
      <w:r w:rsidRPr="00A9245E">
        <w:rPr>
          <w:rFonts w:ascii="Calibri" w:hAnsi="Calibri" w:cs="Calibri"/>
          <w:sz w:val="22"/>
        </w:rPr>
        <w:t xml:space="preserve">Le titre VII (art. 230 à 234) de la </w:t>
      </w:r>
      <w:bookmarkStart w:id="2" w:name="_Hlk9588731"/>
      <w:r w:rsidRPr="00A9245E">
        <w:rPr>
          <w:rFonts w:ascii="Calibri" w:hAnsi="Calibri" w:cs="Calibri"/>
          <w:sz w:val="22"/>
        </w:rPr>
        <w:t xml:space="preserve">loi du 2 mai 2019 portant des dispositions financières diverses </w:t>
      </w:r>
      <w:bookmarkEnd w:id="2"/>
      <w:r w:rsidRPr="00A9245E">
        <w:rPr>
          <w:rFonts w:ascii="Calibri" w:hAnsi="Calibri" w:cs="Calibri"/>
          <w:sz w:val="22"/>
        </w:rPr>
        <w:t>introduit un certain nombre de dispositions permettant la bonne exécution du Règlement 2271/96 en Belgique.</w:t>
      </w:r>
    </w:p>
    <w:p w14:paraId="2390B39C" w14:textId="77777777" w:rsidR="001274AA" w:rsidRPr="00A9245E" w:rsidRDefault="001274AA" w:rsidP="001274AA">
      <w:pPr>
        <w:spacing w:after="0"/>
        <w:rPr>
          <w:rFonts w:ascii="Calibri" w:hAnsi="Calibri" w:cs="Calibri"/>
          <w:sz w:val="22"/>
        </w:rPr>
      </w:pPr>
    </w:p>
    <w:p w14:paraId="01472B56" w14:textId="77777777" w:rsidR="001274AA" w:rsidRPr="00A9245E" w:rsidRDefault="001274AA" w:rsidP="001274AA">
      <w:pPr>
        <w:pStyle w:val="Lijstalinea"/>
        <w:numPr>
          <w:ilvl w:val="0"/>
          <w:numId w:val="2"/>
        </w:numPr>
        <w:spacing w:after="0"/>
        <w:rPr>
          <w:rFonts w:ascii="Calibri" w:hAnsi="Calibri" w:cs="Calibri"/>
          <w:sz w:val="22"/>
        </w:rPr>
      </w:pPr>
      <w:r w:rsidRPr="00A9245E">
        <w:rPr>
          <w:rFonts w:ascii="Calibri" w:hAnsi="Calibri" w:cs="Calibri"/>
          <w:sz w:val="22"/>
        </w:rPr>
        <w:t xml:space="preserve">L’Administration générale de la Trésorerie (SPF Finances) et le SPF Économie, PME, Classes moyennes et Énergie sont les autorités compétentes pour veiller au respect des obligations du Règlement 2271/96. Le SPF Affaires étrangères est désigné comme autorité compétente pour la transmission à la Commission européenne d’informations pertinentes pour l'application du règlement. La décision d'accorder une exception ne peut être prise que par la Commission européenne elle-même (art. 230). </w:t>
      </w:r>
    </w:p>
    <w:p w14:paraId="2256368B" w14:textId="77777777" w:rsidR="001274AA" w:rsidRPr="00A9245E" w:rsidRDefault="001274AA" w:rsidP="001274AA">
      <w:pPr>
        <w:spacing w:after="0"/>
        <w:rPr>
          <w:rFonts w:ascii="Calibri" w:hAnsi="Calibri" w:cs="Calibri"/>
          <w:sz w:val="22"/>
        </w:rPr>
      </w:pPr>
    </w:p>
    <w:p w14:paraId="60774418" w14:textId="77777777" w:rsidR="001274AA" w:rsidRPr="00A9245E" w:rsidRDefault="001274AA" w:rsidP="001274AA">
      <w:pPr>
        <w:pStyle w:val="Lijstalinea"/>
        <w:numPr>
          <w:ilvl w:val="0"/>
          <w:numId w:val="2"/>
        </w:numPr>
        <w:spacing w:after="0"/>
        <w:rPr>
          <w:rFonts w:ascii="Calibri" w:hAnsi="Calibri" w:cs="Calibri"/>
          <w:sz w:val="22"/>
        </w:rPr>
      </w:pPr>
      <w:r w:rsidRPr="00A9245E">
        <w:rPr>
          <w:rFonts w:ascii="Calibri" w:hAnsi="Calibri" w:cs="Calibri"/>
          <w:sz w:val="22"/>
        </w:rPr>
        <w:t>L'article 231 fixe, en application de l'article 9 du Règlement (CE) n° 2271/96, les amendes administratives applicables en cas d’infractions à ce règlement. Concrètement, ces amendes s’élèvent à :</w:t>
      </w:r>
    </w:p>
    <w:p w14:paraId="417E9229" w14:textId="77777777" w:rsidR="009F64E9" w:rsidRPr="00A9245E" w:rsidRDefault="001274AA" w:rsidP="001274AA">
      <w:pPr>
        <w:pStyle w:val="Lijstalinea"/>
        <w:numPr>
          <w:ilvl w:val="1"/>
          <w:numId w:val="2"/>
        </w:numPr>
        <w:spacing w:after="0"/>
        <w:rPr>
          <w:rFonts w:ascii="Calibri" w:hAnsi="Calibri" w:cs="Calibri"/>
          <w:sz w:val="22"/>
        </w:rPr>
      </w:pPr>
      <w:r w:rsidRPr="00A9245E">
        <w:rPr>
          <w:rFonts w:ascii="Calibri" w:hAnsi="Calibri" w:cs="Calibri"/>
          <w:sz w:val="22"/>
        </w:rPr>
        <w:t xml:space="preserve">Pour les personnes morales : un minimum de 10 000 EUR et un maximum de </w:t>
      </w:r>
    </w:p>
    <w:p w14:paraId="5A7C2AA4" w14:textId="55F8B683" w:rsidR="001274AA" w:rsidRPr="00A9245E" w:rsidRDefault="001274AA" w:rsidP="009F64E9">
      <w:pPr>
        <w:pStyle w:val="Lijstalinea"/>
        <w:spacing w:after="0"/>
        <w:ind w:left="1080"/>
        <w:rPr>
          <w:rFonts w:ascii="Calibri" w:hAnsi="Calibri" w:cs="Calibri"/>
          <w:sz w:val="22"/>
        </w:rPr>
      </w:pPr>
      <w:r w:rsidRPr="00A9245E">
        <w:rPr>
          <w:rFonts w:ascii="Calibri" w:hAnsi="Calibri" w:cs="Calibri"/>
          <w:sz w:val="22"/>
        </w:rPr>
        <w:t>10 % du chiffre d'affaires annuel net de l'exercice comptable précédent</w:t>
      </w:r>
    </w:p>
    <w:p w14:paraId="687CB688" w14:textId="77777777" w:rsidR="001274AA" w:rsidRPr="00A9245E" w:rsidRDefault="001274AA" w:rsidP="001274AA">
      <w:pPr>
        <w:pStyle w:val="Lijstalinea"/>
        <w:numPr>
          <w:ilvl w:val="1"/>
          <w:numId w:val="2"/>
        </w:numPr>
        <w:spacing w:after="0"/>
        <w:rPr>
          <w:rFonts w:ascii="Calibri" w:hAnsi="Calibri" w:cs="Calibri"/>
          <w:sz w:val="22"/>
        </w:rPr>
      </w:pPr>
      <w:r w:rsidRPr="00A9245E">
        <w:rPr>
          <w:rFonts w:ascii="Calibri" w:hAnsi="Calibri" w:cs="Calibri"/>
          <w:sz w:val="22"/>
        </w:rPr>
        <w:t>Pour les personnes physiques : un minimum de 250 EUR et un maximum de  </w:t>
      </w:r>
      <w:r w:rsidRPr="00A9245E">
        <w:rPr>
          <w:rFonts w:ascii="Calibri" w:hAnsi="Calibri" w:cs="Calibri"/>
          <w:sz w:val="22"/>
        </w:rPr>
        <w:br/>
        <w:t>5 000 000 EUR.</w:t>
      </w:r>
    </w:p>
    <w:p w14:paraId="13738143" w14:textId="77777777" w:rsidR="001274AA" w:rsidRPr="00A9245E" w:rsidRDefault="001274AA" w:rsidP="001274AA">
      <w:pPr>
        <w:spacing w:after="0"/>
        <w:rPr>
          <w:rFonts w:ascii="Calibri" w:hAnsi="Calibri" w:cs="Calibri"/>
          <w:sz w:val="22"/>
        </w:rPr>
      </w:pPr>
    </w:p>
    <w:p w14:paraId="5132927F" w14:textId="77777777" w:rsidR="001274AA" w:rsidRPr="00A9245E" w:rsidRDefault="001274AA" w:rsidP="001274AA">
      <w:pPr>
        <w:spacing w:after="0"/>
        <w:rPr>
          <w:rFonts w:ascii="Calibri" w:hAnsi="Calibri" w:cs="Calibri"/>
          <w:sz w:val="22"/>
        </w:rPr>
      </w:pPr>
      <w:bookmarkStart w:id="3" w:name="_Hlk9589520"/>
      <w:r w:rsidRPr="00A9245E">
        <w:rPr>
          <w:rFonts w:ascii="Calibri" w:hAnsi="Calibri" w:cs="Calibri"/>
          <w:sz w:val="22"/>
        </w:rPr>
        <w:t xml:space="preserve">De plus amples informations sur la loi de blocage sont disponibles sur </w:t>
      </w:r>
      <w:hyperlink r:id="rId18" w:history="1">
        <w:r w:rsidRPr="00A9245E">
          <w:rPr>
            <w:rStyle w:val="Hyperlink"/>
            <w:rFonts w:ascii="Calibri" w:hAnsi="Calibri" w:cs="Calibri"/>
            <w:sz w:val="22"/>
          </w:rPr>
          <w:t>le site web de la Commission européenne</w:t>
        </w:r>
        <w:bookmarkEnd w:id="3"/>
      </w:hyperlink>
      <w:r w:rsidRPr="00A9245E">
        <w:rPr>
          <w:rFonts w:ascii="Calibri" w:hAnsi="Calibri" w:cs="Calibri"/>
          <w:sz w:val="22"/>
        </w:rPr>
        <w:t>.</w:t>
      </w:r>
    </w:p>
    <w:p w14:paraId="1C2B03F5" w14:textId="77777777" w:rsidR="001274AA" w:rsidRPr="000A2056" w:rsidRDefault="001274AA" w:rsidP="001274AA">
      <w:pPr>
        <w:spacing w:after="0"/>
        <w:rPr>
          <w:rFonts w:ascii="Calibri" w:hAnsi="Calibri" w:cs="Calibri"/>
          <w:sz w:val="22"/>
        </w:rPr>
      </w:pPr>
    </w:p>
    <w:p w14:paraId="39437E1C" w14:textId="77777777" w:rsidR="001274AA" w:rsidRPr="000A2056" w:rsidRDefault="001274AA" w:rsidP="001274AA">
      <w:pPr>
        <w:spacing w:after="0"/>
        <w:rPr>
          <w:rFonts w:ascii="Calibri" w:hAnsi="Calibri" w:cs="Calibri"/>
          <w:sz w:val="22"/>
        </w:rPr>
      </w:pPr>
    </w:p>
    <w:p w14:paraId="6D49C32C" w14:textId="77777777" w:rsidR="001274AA" w:rsidRPr="000A2056" w:rsidRDefault="001274AA" w:rsidP="001274AA">
      <w:pPr>
        <w:spacing w:after="0"/>
        <w:rPr>
          <w:rFonts w:ascii="Calibri" w:hAnsi="Calibri" w:cs="Calibri"/>
          <w:sz w:val="22"/>
        </w:rPr>
      </w:pPr>
    </w:p>
    <w:p w14:paraId="41D1685E" w14:textId="77777777" w:rsidR="001274AA" w:rsidRDefault="001274AA" w:rsidP="001274AA">
      <w:pPr>
        <w:jc w:val="left"/>
        <w:rPr>
          <w:rFonts w:ascii="Calibri" w:hAnsi="Calibri" w:cs="Calibri"/>
          <w:sz w:val="22"/>
        </w:rPr>
      </w:pPr>
      <w:r>
        <w:br w:type="page"/>
      </w:r>
    </w:p>
    <w:p w14:paraId="199DC1E1" w14:textId="77777777" w:rsidR="001274AA" w:rsidRPr="009F64E9" w:rsidRDefault="001274AA" w:rsidP="001274AA">
      <w:pPr>
        <w:spacing w:after="0"/>
        <w:rPr>
          <w:rFonts w:ascii="Calibri" w:hAnsi="Calibri" w:cs="Calibri"/>
          <w:b/>
          <w:sz w:val="22"/>
        </w:rPr>
      </w:pPr>
      <w:r w:rsidRPr="009F64E9">
        <w:rPr>
          <w:rFonts w:ascii="Calibri" w:hAnsi="Calibri" w:cs="Calibri"/>
          <w:b/>
          <w:sz w:val="22"/>
        </w:rPr>
        <w:lastRenderedPageBreak/>
        <w:t>Modifications de la loi du 13 mai 2003 sur la mise en œuvre des mesures restrictives prises par l'Union européenne</w:t>
      </w:r>
    </w:p>
    <w:p w14:paraId="5423A583" w14:textId="77777777" w:rsidR="001274AA" w:rsidRPr="009F64E9" w:rsidRDefault="001274AA" w:rsidP="001274AA">
      <w:pPr>
        <w:spacing w:after="0"/>
        <w:rPr>
          <w:rFonts w:ascii="Calibri" w:hAnsi="Calibri" w:cs="Calibri"/>
          <w:sz w:val="22"/>
        </w:rPr>
      </w:pPr>
    </w:p>
    <w:p w14:paraId="76916515" w14:textId="77777777" w:rsidR="001274AA" w:rsidRPr="00A9245E" w:rsidRDefault="001274AA" w:rsidP="001274AA">
      <w:pPr>
        <w:spacing w:after="0"/>
        <w:rPr>
          <w:rFonts w:ascii="Calibri" w:hAnsi="Calibri" w:cs="Calibri"/>
          <w:sz w:val="22"/>
        </w:rPr>
      </w:pPr>
      <w:r w:rsidRPr="00A9245E">
        <w:rPr>
          <w:rFonts w:ascii="Calibri" w:hAnsi="Calibri" w:cs="Calibri"/>
          <w:sz w:val="22"/>
        </w:rPr>
        <w:t xml:space="preserve">La </w:t>
      </w:r>
      <w:hyperlink r:id="rId19" w:history="1">
        <w:r w:rsidRPr="00A9245E">
          <w:rPr>
            <w:rStyle w:val="Hyperlink"/>
            <w:rFonts w:ascii="Calibri" w:hAnsi="Calibri" w:cs="Calibri"/>
            <w:sz w:val="22"/>
          </w:rPr>
          <w:t>loi du 13 mai 2003</w:t>
        </w:r>
      </w:hyperlink>
      <w:r w:rsidRPr="00A9245E">
        <w:rPr>
          <w:rFonts w:ascii="Calibri" w:hAnsi="Calibri" w:cs="Calibri"/>
          <w:sz w:val="22"/>
        </w:rPr>
        <w:t xml:space="preserve"> donne au Roi le pouvoir de prendre les mesures nécessaires à la mise en œuvre des mesures restrictives prises par l'Union européenne. En outre, cette </w:t>
      </w:r>
      <w:bookmarkStart w:id="4" w:name="_GoBack"/>
      <w:bookmarkEnd w:id="4"/>
      <w:r w:rsidRPr="00A9245E">
        <w:rPr>
          <w:rFonts w:ascii="Calibri" w:hAnsi="Calibri" w:cs="Calibri"/>
          <w:sz w:val="22"/>
        </w:rPr>
        <w:t>loi prévoit des sanctions pénales pour les infractions à ces mesures et désigne les autorités compétentes pour rechercher et constater ces infractions.</w:t>
      </w:r>
    </w:p>
    <w:p w14:paraId="42DFD64F" w14:textId="77777777" w:rsidR="001274AA" w:rsidRPr="00A9245E" w:rsidRDefault="001274AA" w:rsidP="001274AA">
      <w:pPr>
        <w:spacing w:after="0"/>
        <w:rPr>
          <w:rFonts w:ascii="Calibri" w:hAnsi="Calibri" w:cs="Calibri"/>
          <w:sz w:val="22"/>
        </w:rPr>
      </w:pPr>
    </w:p>
    <w:p w14:paraId="202D5BF5" w14:textId="77777777" w:rsidR="001274AA" w:rsidRPr="00A9245E" w:rsidRDefault="001274AA" w:rsidP="001274AA">
      <w:pPr>
        <w:spacing w:after="0"/>
        <w:rPr>
          <w:rFonts w:ascii="Calibri" w:hAnsi="Calibri" w:cs="Calibri"/>
          <w:sz w:val="22"/>
        </w:rPr>
      </w:pPr>
      <w:r w:rsidRPr="00A9245E">
        <w:rPr>
          <w:rFonts w:ascii="Calibri" w:hAnsi="Calibri" w:cs="Calibri"/>
          <w:sz w:val="22"/>
        </w:rPr>
        <w:t>La loi du 2 mai 2019 portant des dispositions financières diverses apporte, outre un certain nombre de corrections techniques, les modifications suivantes à la loi du 13 mai 2003.</w:t>
      </w:r>
    </w:p>
    <w:p w14:paraId="072D95E2" w14:textId="77777777" w:rsidR="001274AA" w:rsidRPr="00A9245E" w:rsidRDefault="001274AA" w:rsidP="001274AA">
      <w:pPr>
        <w:spacing w:after="0"/>
        <w:rPr>
          <w:rFonts w:ascii="Calibri" w:hAnsi="Calibri" w:cs="Calibri"/>
          <w:sz w:val="22"/>
        </w:rPr>
      </w:pPr>
    </w:p>
    <w:p w14:paraId="7ADBA456" w14:textId="77777777" w:rsidR="001274AA" w:rsidRPr="00A9245E" w:rsidRDefault="001274AA" w:rsidP="001274AA">
      <w:pPr>
        <w:pStyle w:val="Lijstalinea"/>
        <w:numPr>
          <w:ilvl w:val="0"/>
          <w:numId w:val="2"/>
        </w:numPr>
        <w:spacing w:after="0"/>
        <w:rPr>
          <w:rFonts w:ascii="Calibri" w:hAnsi="Calibri" w:cs="Calibri"/>
          <w:sz w:val="22"/>
        </w:rPr>
      </w:pPr>
      <w:r w:rsidRPr="00A9245E">
        <w:rPr>
          <w:rFonts w:ascii="Calibri" w:hAnsi="Calibri" w:cs="Calibri"/>
          <w:sz w:val="22"/>
        </w:rPr>
        <w:t>Outre les sanctions pénales déjà prévues (emprisonnement de huit jours à cinq ans et amende de 25 à 25 000 euros), la possibilité d'imposer des sanctions administratives pour les infractions aux mesures restrictives imposées par l'UE est également prévue. Cela permet au ministre compétent d'infliger une amende administrative de 250 à 2 500 000 EUR sans qu’une procédure pénale soit engagée à cet effet (article 233).</w:t>
      </w:r>
    </w:p>
    <w:p w14:paraId="573C8202" w14:textId="77777777" w:rsidR="001274AA" w:rsidRPr="00A9245E" w:rsidRDefault="001274AA" w:rsidP="001274AA">
      <w:pPr>
        <w:pStyle w:val="Lijstalinea"/>
        <w:spacing w:after="0"/>
        <w:ind w:left="360"/>
        <w:rPr>
          <w:rFonts w:ascii="Calibri" w:hAnsi="Calibri" w:cs="Calibri"/>
          <w:sz w:val="22"/>
        </w:rPr>
      </w:pPr>
    </w:p>
    <w:p w14:paraId="47546FDA" w14:textId="77777777" w:rsidR="001274AA" w:rsidRPr="00A9245E" w:rsidRDefault="001274AA" w:rsidP="001274AA">
      <w:pPr>
        <w:pStyle w:val="Lijstalinea"/>
        <w:numPr>
          <w:ilvl w:val="0"/>
          <w:numId w:val="2"/>
        </w:numPr>
        <w:spacing w:after="0"/>
        <w:rPr>
          <w:rFonts w:ascii="Calibri" w:hAnsi="Calibri" w:cs="Calibri"/>
          <w:sz w:val="22"/>
        </w:rPr>
      </w:pPr>
      <w:r w:rsidRPr="00A9245E">
        <w:rPr>
          <w:rFonts w:ascii="Calibri" w:hAnsi="Calibri" w:cs="Calibri"/>
          <w:sz w:val="22"/>
        </w:rPr>
        <w:t xml:space="preserve">Comme dans la loi du 11 mai 1995, il est précisé que l'Administration générale de la Trésorerie du SPF Finances est compétente pour rechercher et constater les infractions aux mesures restrictives financières (art. 234). </w:t>
      </w:r>
    </w:p>
    <w:p w14:paraId="0D53D1F8" w14:textId="77777777" w:rsidR="001274AA" w:rsidRPr="00A9245E" w:rsidRDefault="001274AA" w:rsidP="001274AA">
      <w:pPr>
        <w:spacing w:after="0"/>
        <w:rPr>
          <w:rFonts w:ascii="Calibri" w:hAnsi="Calibri" w:cs="Calibri"/>
          <w:sz w:val="22"/>
        </w:rPr>
      </w:pPr>
    </w:p>
    <w:p w14:paraId="63AACD6A" w14:textId="77777777" w:rsidR="001274AA" w:rsidRPr="00A9245E" w:rsidRDefault="001274AA" w:rsidP="001274AA">
      <w:pPr>
        <w:spacing w:after="0"/>
        <w:rPr>
          <w:rFonts w:ascii="Calibri" w:hAnsi="Calibri" w:cs="Calibri"/>
          <w:sz w:val="22"/>
        </w:rPr>
      </w:pPr>
      <w:r w:rsidRPr="00A9245E">
        <w:rPr>
          <w:rFonts w:ascii="Calibri" w:hAnsi="Calibri" w:cs="Calibri"/>
          <w:sz w:val="22"/>
        </w:rPr>
        <w:t xml:space="preserve">De plus amples informations sur les mesures restrictives prises par l'Union européenne sont disponibles sur le </w:t>
      </w:r>
      <w:hyperlink r:id="rId20" w:history="1">
        <w:r w:rsidRPr="00A9245E">
          <w:rPr>
            <w:rStyle w:val="Hyperlink"/>
            <w:rFonts w:ascii="Calibri" w:hAnsi="Calibri" w:cs="Calibri"/>
            <w:sz w:val="22"/>
          </w:rPr>
          <w:t>site web de la Commission européenne</w:t>
        </w:r>
      </w:hyperlink>
      <w:r w:rsidRPr="00A9245E">
        <w:rPr>
          <w:rFonts w:ascii="Calibri" w:hAnsi="Calibri" w:cs="Calibri"/>
          <w:sz w:val="22"/>
        </w:rPr>
        <w:t xml:space="preserve"> et la </w:t>
      </w:r>
      <w:hyperlink r:id="rId21" w:anchor="/main" w:history="1">
        <w:r w:rsidRPr="00A9245E">
          <w:rPr>
            <w:rStyle w:val="Hyperlink"/>
            <w:rFonts w:ascii="Calibri" w:hAnsi="Calibri" w:cs="Calibri"/>
            <w:sz w:val="22"/>
          </w:rPr>
          <w:t xml:space="preserve">EU sanctions </w:t>
        </w:r>
        <w:proofErr w:type="spellStart"/>
        <w:r w:rsidRPr="00A9245E">
          <w:rPr>
            <w:rStyle w:val="Hyperlink"/>
            <w:rFonts w:ascii="Calibri" w:hAnsi="Calibri" w:cs="Calibri"/>
            <w:sz w:val="22"/>
          </w:rPr>
          <w:t>map</w:t>
        </w:r>
        <w:proofErr w:type="spellEnd"/>
        <w:r w:rsidRPr="00A9245E">
          <w:rPr>
            <w:rStyle w:val="Hyperlink"/>
            <w:rFonts w:ascii="Calibri" w:hAnsi="Calibri" w:cs="Calibri"/>
            <w:sz w:val="22"/>
          </w:rPr>
          <w:t xml:space="preserve"> </w:t>
        </w:r>
      </w:hyperlink>
      <w:r w:rsidRPr="00A9245E">
        <w:rPr>
          <w:rFonts w:ascii="Calibri" w:hAnsi="Calibri" w:cs="Calibri"/>
          <w:sz w:val="22"/>
        </w:rPr>
        <w:t>.</w:t>
      </w:r>
    </w:p>
    <w:p w14:paraId="40BFA015" w14:textId="77777777" w:rsidR="002E504B" w:rsidRPr="00867948" w:rsidRDefault="002E504B" w:rsidP="00934249">
      <w:pPr>
        <w:pStyle w:val="Kop6"/>
      </w:pPr>
    </w:p>
    <w:sectPr w:rsidR="002E504B" w:rsidRPr="00867948" w:rsidSect="003C4131">
      <w:footerReference w:type="default" r:id="rId22"/>
      <w:headerReference w:type="first" r:id="rId23"/>
      <w:footerReference w:type="first" r:id="rId24"/>
      <w:pgSz w:w="11906" w:h="16838"/>
      <w:pgMar w:top="1417" w:right="1417" w:bottom="1417" w:left="1417"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BFBD3" w14:textId="77777777" w:rsidR="004B7FF3" w:rsidRDefault="004B7FF3" w:rsidP="0077775E">
      <w:pPr>
        <w:spacing w:after="0" w:line="240" w:lineRule="auto"/>
      </w:pPr>
      <w:r>
        <w:separator/>
      </w:r>
    </w:p>
  </w:endnote>
  <w:endnote w:type="continuationSeparator" w:id="0">
    <w:p w14:paraId="2F4A6ADD" w14:textId="77777777" w:rsidR="004B7FF3" w:rsidRDefault="004B7FF3" w:rsidP="00777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Lt">
    <w:panose1 w:val="000003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82BF" w14:textId="759D1F54" w:rsidR="0077775E" w:rsidRDefault="0050319A">
    <w:pPr>
      <w:pStyle w:val="Voettekst"/>
    </w:pPr>
    <w:r>
      <w:rPr>
        <w:noProof/>
      </w:rPr>
      <w:drawing>
        <wp:anchor distT="0" distB="0" distL="114300" distR="114300" simplePos="0" relativeHeight="251659264" behindDoc="1" locked="0" layoutInCell="1" allowOverlap="1" wp14:anchorId="1C0DF054" wp14:editId="461E6A06">
          <wp:simplePos x="0" y="0"/>
          <wp:positionH relativeFrom="column">
            <wp:posOffset>-899795</wp:posOffset>
          </wp:positionH>
          <wp:positionV relativeFrom="margin">
            <wp:posOffset>8921829</wp:posOffset>
          </wp:positionV>
          <wp:extent cx="7556546" cy="862299"/>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NCourrierA4_footer-000_2.png"/>
                  <pic:cNvPicPr/>
                </pic:nvPicPr>
                <pic:blipFill>
                  <a:blip r:embed="rId1">
                    <a:extLst>
                      <a:ext uri="{28A0092B-C50C-407E-A947-70E740481C1C}">
                        <a14:useLocalDpi xmlns:a14="http://schemas.microsoft.com/office/drawing/2010/main" val="0"/>
                      </a:ext>
                    </a:extLst>
                  </a:blip>
                  <a:stretch>
                    <a:fillRect/>
                  </a:stretch>
                </pic:blipFill>
                <pic:spPr>
                  <a:xfrm>
                    <a:off x="0" y="0"/>
                    <a:ext cx="7556546" cy="862299"/>
                  </a:xfrm>
                  <a:prstGeom prst="rect">
                    <a:avLst/>
                  </a:prstGeom>
                </pic:spPr>
              </pic:pic>
            </a:graphicData>
          </a:graphic>
          <wp14:sizeRelH relativeFrom="page">
            <wp14:pctWidth>0</wp14:pctWidth>
          </wp14:sizeRelH>
          <wp14:sizeRelV relativeFrom="page">
            <wp14:pctHeight>0</wp14:pctHeight>
          </wp14:sizeRelV>
        </wp:anchor>
      </w:drawing>
    </w:r>
    <w:r w:rsidR="001130FC">
      <w:rPr>
        <w:noProof/>
      </w:rPr>
      <mc:AlternateContent>
        <mc:Choice Requires="wps">
          <w:drawing>
            <wp:anchor distT="45720" distB="45720" distL="114300" distR="114300" simplePos="0" relativeHeight="251663360" behindDoc="0" locked="0" layoutInCell="1" allowOverlap="1" wp14:anchorId="355DF779" wp14:editId="27C7DE5E">
              <wp:simplePos x="0" y="0"/>
              <wp:positionH relativeFrom="column">
                <wp:posOffset>-205105</wp:posOffset>
              </wp:positionH>
              <wp:positionV relativeFrom="paragraph">
                <wp:posOffset>-266700</wp:posOffset>
              </wp:positionV>
              <wp:extent cx="504000" cy="313200"/>
              <wp:effectExtent l="0" t="0" r="0" b="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000" cy="313200"/>
                      </a:xfrm>
                      <a:prstGeom prst="rect">
                        <a:avLst/>
                      </a:prstGeom>
                      <a:noFill/>
                      <a:ln w="9525">
                        <a:noFill/>
                        <a:miter lim="800000"/>
                        <a:headEnd/>
                        <a:tailEnd/>
                      </a:ln>
                    </wps:spPr>
                    <wps:txbx>
                      <w:txbxContent>
                        <w:p w14:paraId="12B431A1" w14:textId="36116E88"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C75AD6">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C75AD6">
                            <w:rPr>
                              <w:noProof/>
                              <w:sz w:val="16"/>
                              <w:szCs w:val="16"/>
                            </w:rPr>
                            <w:t>2</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5DF779" id="_x0000_t202" coordsize="21600,21600" o:spt="202" path="m,l,21600r21600,l21600,xe">
              <v:stroke joinstyle="miter"/>
              <v:path gradientshapeok="t" o:connecttype="rect"/>
            </v:shapetype>
            <v:shape id="Zone de texte 2" o:spid="_x0000_s1026" type="#_x0000_t202" style="position:absolute;left:0;text-align:left;margin-left:-16.15pt;margin-top:-21pt;width:39.7pt;height:24.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7SiDQIAAPYDAAAOAAAAZHJzL2Uyb0RvYy54bWysU01v2zAMvQ/YfxB0X+y4ydYacYquXYcB&#10;3QfQ7bIbI8uxMEnUJCV29utHyWkabLdhF4ESyUe+R2p1PRrN9tIHhbbh81nJmbQCW2W3Df/29f7V&#10;JWchgm1Bo5UNP8jAr9cvX6wGV8sKe9St9IxAbKgH1/A+RlcXRRC9NBBm6KQlZ4feQKSr3xath4HQ&#10;jS6qsnxdDOhb51HIEOj1bnLydcbvOini564LMjLdcOot5tPnc5POYr2CeuvB9Uoc24B/6MKAslT0&#10;BHUHEdjOq7+gjBIeA3ZxJtAU2HVKyMyB2MzLP9g89uBk5kLiBHeSKfw/WPFp/8Uz1Ta84syCoRF9&#10;p0GxVrIoxyhZlSQaXKgp8tFRbBzf4kijznSDe0DxIzCLtz3YrbzxHodeQkstzlNmcZY64YQEshk+&#10;Yku1YBcxA42dN0k/UoQROo3qcBoP9cEEPS7LRVmSR5DrYn5B488VoH5Kdj7E9xINS0bDPU0/g8P+&#10;IcTUDNRPIamWxXuldd4AbdnQ8KtltcwJZx6jIi2oVqbhl1R9qgl14vjOtjk5gtKTTQW0PZJOPCfG&#10;cdyMFJiU2GB7IPoep0Wkj0NGj/4XZwMtYcPDzx14yZn+YEnCq/likbY2XxbLNxVd/Llnc+4BKwiq&#10;4ZGzybyNedMnrjckdaeyDM+dHHul5crqHD9C2t7ze456/q7r3wAAAP//AwBQSwMEFAAGAAgAAAAh&#10;AAldfE/eAAAACAEAAA8AAABkcnMvZG93bnJldi54bWxMj01PwzAMhu9I/IfISNy2ZG1hrGs6IRBX&#10;0MaHxC1rvLaicaomW8u/n3eCmy0/ev28xWZynTjhEFpPGhZzBQKp8ralWsPH+8vsAUSIhqzpPKGG&#10;XwywKa+vCpNbP9IWT7tYCw6hkBsNTYx9LmWoGnQmzH2PxLeDH5yJvA61tIMZOdx1MlHqXjrTEn9o&#10;TI9PDVY/u6PT8Pl6+P7K1Fv97O760U9KkltJrW9vpsc1iIhT/IPhos/qULLT3h/JBtFpmKVJyigP&#10;WcKlmMiWCxB7DcsUZFnI/wXKMwAAAP//AwBQSwECLQAUAAYACAAAACEAtoM4kv4AAADhAQAAEwAA&#10;AAAAAAAAAAAAAAAAAAAAW0NvbnRlbnRfVHlwZXNdLnhtbFBLAQItABQABgAIAAAAIQA4/SH/1gAA&#10;AJQBAAALAAAAAAAAAAAAAAAAAC8BAABfcmVscy8ucmVsc1BLAQItABQABgAIAAAAIQBdz7SiDQIA&#10;APYDAAAOAAAAAAAAAAAAAAAAAC4CAABkcnMvZTJvRG9jLnhtbFBLAQItABQABgAIAAAAIQAJXXxP&#10;3gAAAAgBAAAPAAAAAAAAAAAAAAAAAGcEAABkcnMvZG93bnJldi54bWxQSwUGAAAAAAQABADzAAAA&#10;cgUAAAAA&#10;" filled="f" stroked="f">
              <v:textbox>
                <w:txbxContent>
                  <w:p w14:paraId="12B431A1" w14:textId="36116E88" w:rsidR="001130FC" w:rsidRPr="001130FC" w:rsidRDefault="001130FC" w:rsidP="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C75AD6">
                      <w:rPr>
                        <w:noProof/>
                        <w:sz w:val="16"/>
                        <w:szCs w:val="16"/>
                      </w:rPr>
                      <w:t>2</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C75AD6">
                      <w:rPr>
                        <w:noProof/>
                        <w:sz w:val="16"/>
                        <w:szCs w:val="16"/>
                      </w:rPr>
                      <w:t>2</w:t>
                    </w:r>
                    <w:r w:rsidRPr="001130FC">
                      <w:rPr>
                        <w:sz w:val="16"/>
                        <w:szCs w:val="16"/>
                      </w:rPr>
                      <w:fldChar w:fldCharType="end"/>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279D4" w14:textId="2CB13FA5" w:rsidR="001130FC" w:rsidRDefault="001130FC">
    <w:pPr>
      <w:pStyle w:val="Voettekst"/>
    </w:pPr>
    <w:r>
      <w:rPr>
        <w:noProof/>
      </w:rPr>
      <mc:AlternateContent>
        <mc:Choice Requires="wps">
          <w:drawing>
            <wp:anchor distT="45720" distB="45720" distL="114300" distR="114300" simplePos="0" relativeHeight="251661312" behindDoc="0" locked="0" layoutInCell="1" allowOverlap="1" wp14:anchorId="5F9120E0" wp14:editId="7F200047">
              <wp:simplePos x="0" y="0"/>
              <wp:positionH relativeFrom="column">
                <wp:posOffset>-205105</wp:posOffset>
              </wp:positionH>
              <wp:positionV relativeFrom="paragraph">
                <wp:posOffset>-265430</wp:posOffset>
              </wp:positionV>
              <wp:extent cx="504190" cy="3130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313055"/>
                      </a:xfrm>
                      <a:prstGeom prst="rect">
                        <a:avLst/>
                      </a:prstGeom>
                      <a:noFill/>
                      <a:ln w="9525">
                        <a:noFill/>
                        <a:miter lim="800000"/>
                        <a:headEnd/>
                        <a:tailEnd/>
                      </a:ln>
                    </wps:spPr>
                    <wps:txbx>
                      <w:txbxContent>
                        <w:p w14:paraId="3CF9C2A2" w14:textId="3ADDFEFC" w:rsidR="001130FC" w:rsidRPr="001130FC" w:rsidRDefault="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867948">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867948">
                            <w:rPr>
                              <w:noProof/>
                              <w:sz w:val="16"/>
                              <w:szCs w:val="16"/>
                            </w:rPr>
                            <w:t>1</w:t>
                          </w:r>
                          <w:r w:rsidRPr="001130FC">
                            <w:rPr>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9120E0" id="_x0000_t202" coordsize="21600,21600" o:spt="202" path="m,l,21600r21600,l21600,xe">
              <v:stroke joinstyle="miter"/>
              <v:path gradientshapeok="t" o:connecttype="rect"/>
            </v:shapetype>
            <v:shape id="_x0000_s1027" type="#_x0000_t202" style="position:absolute;left:0;text-align:left;margin-left:-16.15pt;margin-top:-20.9pt;width:39.7pt;height:24.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WE5EgIAAP8DAAAOAAAAZHJzL2Uyb0RvYy54bWysU8tu2zAQvBfoPxC813rEamLBcpAmTVEg&#10;fQBpL71RFGURJbksSVtyvr5LynGM9lZUB4LUcmd3Zofr60krshfOSzANLRY5JcJw6KTZNvT7t/s3&#10;V5T4wEzHFBjR0IPw9Hrz+tV6tLUoYQDVCUcQxPh6tA0dQrB1lnk+CM38AqwwGOzBaRbw6LZZ59iI&#10;6FplZZ6/zUZwnXXAhff4924O0k3C73vBw5e+9yIQ1VDsLaTVpbWNa7ZZs3rrmB0kP7bB/qELzaTB&#10;oieoOxYY2Tn5F5SW3IGHPiw46Az6XnKROCCbIv+DzePArEhcUBxvTzL5/wfLP++/OiK7hpbFJSWG&#10;aRzSDxwV6QQJYgqClFGk0foa7z5avB2mdzDhsBNhbx+A//TEwO3AzFbcOAfjIFiHTRYxMztLnXF8&#10;BGnHT9BhLbYLkICm3umoIGpCEB2HdTgNCPsgHH9W+bJYYYRj6KK4yKsqVWD1c7J1PnwQoEncNNTh&#10;/BM42z/4EJth9fOVWMvAvVQqeUAZMjZ0VZVVSjiLaBnQokrqhl7l8ZtNEzm+N11KDkyqeY8FlDmS&#10;jjxnxmFqpyRyUiQK0kJ3QBUczI7EF4SbAdwTJSO6saH+1445QYn6aFDJVbFcRvumw7K6LPHgziPt&#10;eYQZjlANDZTM29uQLD9TvkHFe5nUeOnk2DK6LIl0fBHRxufndOvl3W5+AwAA//8DAFBLAwQUAAYA&#10;CAAAACEA8ucQpt0AAAAIAQAADwAAAGRycy9kb3ducmV2LnhtbEyPwU7DMAyG70h7h8hI3LakW8e2&#10;0nRCIK4gBkzaLWu8tlrjVE22lrfHnOBmy59+f3++HV0rrtiHxpOGZKZAIJXeNlRp+Px4ma5BhGjI&#10;mtYTavjGANticpObzPqB3vG6i5XgEAqZ0VDH2GVShrJGZ8LMd0h8O/nemchrX0nbm4HDXSvnSt1L&#10;ZxriD7Xp8KnG8ry7OA1fr6fDPlVv1bNbdoMflSS3kVrf3Y6PDyAijvEPhl99VoeCnY7+QjaIVsN0&#10;MV8wykOacAcm0lUC4qhhtQRZ5PJ/geIHAAD//wMAUEsBAi0AFAAGAAgAAAAhALaDOJL+AAAA4QEA&#10;ABMAAAAAAAAAAAAAAAAAAAAAAFtDb250ZW50X1R5cGVzXS54bWxQSwECLQAUAAYACAAAACEAOP0h&#10;/9YAAACUAQAACwAAAAAAAAAAAAAAAAAvAQAAX3JlbHMvLnJlbHNQSwECLQAUAAYACAAAACEAA+1h&#10;ORICAAD/AwAADgAAAAAAAAAAAAAAAAAuAgAAZHJzL2Uyb0RvYy54bWxQSwECLQAUAAYACAAAACEA&#10;8ucQpt0AAAAIAQAADwAAAAAAAAAAAAAAAABsBAAAZHJzL2Rvd25yZXYueG1sUEsFBgAAAAAEAAQA&#10;8wAAAHYFAAAAAA==&#10;" filled="f" stroked="f">
              <v:textbox>
                <w:txbxContent>
                  <w:p w14:paraId="3CF9C2A2" w14:textId="3ADDFEFC" w:rsidR="001130FC" w:rsidRPr="001130FC" w:rsidRDefault="001130FC">
                    <w:pPr>
                      <w:rPr>
                        <w:sz w:val="16"/>
                        <w:szCs w:val="16"/>
                      </w:rPr>
                    </w:pPr>
                    <w:r w:rsidRPr="001130FC">
                      <w:rPr>
                        <w:sz w:val="16"/>
                        <w:szCs w:val="16"/>
                      </w:rPr>
                      <w:fldChar w:fldCharType="begin"/>
                    </w:r>
                    <w:r w:rsidRPr="001130FC">
                      <w:rPr>
                        <w:sz w:val="16"/>
                        <w:szCs w:val="16"/>
                      </w:rPr>
                      <w:instrText xml:space="preserve"> PAGE  \* Arabic  \* MERGEFORMAT </w:instrText>
                    </w:r>
                    <w:r w:rsidRPr="001130FC">
                      <w:rPr>
                        <w:sz w:val="16"/>
                        <w:szCs w:val="16"/>
                      </w:rPr>
                      <w:fldChar w:fldCharType="separate"/>
                    </w:r>
                    <w:r w:rsidR="00867948">
                      <w:rPr>
                        <w:noProof/>
                        <w:sz w:val="16"/>
                        <w:szCs w:val="16"/>
                      </w:rPr>
                      <w:t>1</w:t>
                    </w:r>
                    <w:r w:rsidRPr="001130FC">
                      <w:rPr>
                        <w:sz w:val="16"/>
                        <w:szCs w:val="16"/>
                      </w:rPr>
                      <w:fldChar w:fldCharType="end"/>
                    </w:r>
                    <w:r w:rsidRPr="001130FC">
                      <w:rPr>
                        <w:sz w:val="16"/>
                        <w:szCs w:val="16"/>
                      </w:rPr>
                      <w:t>/</w:t>
                    </w:r>
                    <w:r w:rsidRPr="001130FC">
                      <w:rPr>
                        <w:sz w:val="16"/>
                        <w:szCs w:val="16"/>
                      </w:rPr>
                      <w:fldChar w:fldCharType="begin"/>
                    </w:r>
                    <w:r w:rsidRPr="001130FC">
                      <w:rPr>
                        <w:sz w:val="16"/>
                        <w:szCs w:val="16"/>
                      </w:rPr>
                      <w:instrText xml:space="preserve"> NUMPAGES   \* MERGEFORMAT </w:instrText>
                    </w:r>
                    <w:r w:rsidRPr="001130FC">
                      <w:rPr>
                        <w:sz w:val="16"/>
                        <w:szCs w:val="16"/>
                      </w:rPr>
                      <w:fldChar w:fldCharType="separate"/>
                    </w:r>
                    <w:r w:rsidR="00867948">
                      <w:rPr>
                        <w:noProof/>
                        <w:sz w:val="16"/>
                        <w:szCs w:val="16"/>
                      </w:rPr>
                      <w:t>1</w:t>
                    </w:r>
                    <w:r w:rsidRPr="001130FC">
                      <w:rPr>
                        <w:sz w:val="16"/>
                        <w:szCs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C56BC" w14:textId="77777777" w:rsidR="004B7FF3" w:rsidRDefault="004B7FF3" w:rsidP="0077775E">
      <w:pPr>
        <w:spacing w:after="0" w:line="240" w:lineRule="auto"/>
      </w:pPr>
      <w:r>
        <w:separator/>
      </w:r>
    </w:p>
  </w:footnote>
  <w:footnote w:type="continuationSeparator" w:id="0">
    <w:p w14:paraId="67AB0F1A" w14:textId="77777777" w:rsidR="004B7FF3" w:rsidRDefault="004B7FF3" w:rsidP="00777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042A8" w14:textId="5186E93E" w:rsidR="003C4131" w:rsidRDefault="003C4131" w:rsidP="008E353C">
    <w:pPr>
      <w:pStyle w:val="Koptekst"/>
      <w:tabs>
        <w:tab w:val="clear" w:pos="4536"/>
        <w:tab w:val="clear" w:pos="9072"/>
        <w:tab w:val="left" w:pos="5656"/>
      </w:tabs>
      <w:rPr>
        <w:noProof/>
      </w:rPr>
    </w:pPr>
    <w:r>
      <w:rPr>
        <w:noProof/>
      </w:rPr>
      <w:drawing>
        <wp:anchor distT="0" distB="0" distL="114300" distR="114300" simplePos="0" relativeHeight="251658240" behindDoc="1" locked="0" layoutInCell="1" allowOverlap="1" wp14:anchorId="15067AB3" wp14:editId="6921C081">
          <wp:simplePos x="0" y="0"/>
          <wp:positionH relativeFrom="page">
            <wp:align>left</wp:align>
          </wp:positionH>
          <wp:positionV relativeFrom="page">
            <wp:align>top</wp:align>
          </wp:positionV>
          <wp:extent cx="7559707" cy="10693329"/>
          <wp:effectExtent l="0" t="0" r="3175"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coverreport_000-FR.png"/>
                  <pic:cNvPicPr/>
                </pic:nvPicPr>
                <pic:blipFill>
                  <a:blip r:embed="rId1">
                    <a:extLst>
                      <a:ext uri="{28A0092B-C50C-407E-A947-70E740481C1C}">
                        <a14:useLocalDpi xmlns:a14="http://schemas.microsoft.com/office/drawing/2010/main" val="0"/>
                      </a:ext>
                    </a:extLst>
                  </a:blip>
                  <a:stretch>
                    <a:fillRect/>
                  </a:stretch>
                </pic:blipFill>
                <pic:spPr>
                  <a:xfrm>
                    <a:off x="0" y="0"/>
                    <a:ext cx="7559707" cy="10693329"/>
                  </a:xfrm>
                  <a:prstGeom prst="rect">
                    <a:avLst/>
                  </a:prstGeom>
                </pic:spPr>
              </pic:pic>
            </a:graphicData>
          </a:graphic>
          <wp14:sizeRelH relativeFrom="page">
            <wp14:pctWidth>0</wp14:pctWidth>
          </wp14:sizeRelH>
          <wp14:sizeRelV relativeFrom="page">
            <wp14:pctHeight>0</wp14:pctHeight>
          </wp14:sizeRelV>
        </wp:anchor>
      </w:drawing>
    </w:r>
    <w:r w:rsidR="008E353C">
      <w:rPr>
        <w:noProof/>
      </w:rPr>
      <w:tab/>
    </w:r>
  </w:p>
  <w:p w14:paraId="632A0D29" w14:textId="54313E2A" w:rsidR="003C4131" w:rsidRDefault="00822AB3" w:rsidP="00822AB3">
    <w:pPr>
      <w:pStyle w:val="Koptekst"/>
      <w:tabs>
        <w:tab w:val="clear" w:pos="4536"/>
        <w:tab w:val="clear" w:pos="9072"/>
        <w:tab w:val="left" w:pos="1172"/>
      </w:tabs>
      <w:rPr>
        <w:noProof/>
      </w:rPr>
    </w:pPr>
    <w:r>
      <w:rPr>
        <w:noProof/>
      </w:rPr>
      <w:tab/>
    </w:r>
  </w:p>
  <w:p w14:paraId="62A1BC71" w14:textId="6CD084AA" w:rsidR="003C4131" w:rsidRDefault="004751DD" w:rsidP="004751DD">
    <w:pPr>
      <w:pStyle w:val="Koptekst"/>
      <w:tabs>
        <w:tab w:val="clear" w:pos="4536"/>
        <w:tab w:val="clear" w:pos="9072"/>
        <w:tab w:val="left" w:pos="1172"/>
      </w:tabs>
      <w:rPr>
        <w:noProof/>
      </w:rPr>
    </w:pPr>
    <w:r>
      <w:rPr>
        <w:noProof/>
      </w:rPr>
      <w:tab/>
    </w:r>
  </w:p>
  <w:p w14:paraId="5560FC84" w14:textId="2C7E9D89" w:rsidR="003C4131" w:rsidRDefault="00A945AF" w:rsidP="00A945AF">
    <w:pPr>
      <w:pStyle w:val="Koptekst"/>
      <w:tabs>
        <w:tab w:val="clear" w:pos="4536"/>
        <w:tab w:val="clear" w:pos="9072"/>
        <w:tab w:val="left" w:pos="1525"/>
      </w:tabs>
      <w:rPr>
        <w:noProof/>
      </w:rPr>
    </w:pPr>
    <w:r>
      <w:rPr>
        <w:noProof/>
      </w:rPr>
      <w:tab/>
    </w:r>
  </w:p>
  <w:p w14:paraId="75069773" w14:textId="45520177" w:rsidR="003C4131" w:rsidRDefault="004751DD" w:rsidP="004751DD">
    <w:pPr>
      <w:pStyle w:val="Koptekst"/>
      <w:tabs>
        <w:tab w:val="clear" w:pos="4536"/>
        <w:tab w:val="clear" w:pos="9072"/>
        <w:tab w:val="left" w:pos="1025"/>
      </w:tabs>
      <w:rPr>
        <w:noProof/>
      </w:rPr>
    </w:pPr>
    <w:r>
      <w:rPr>
        <w:noProof/>
      </w:rPr>
      <w:tab/>
    </w:r>
  </w:p>
  <w:p w14:paraId="4D364E8B" w14:textId="56D33C37" w:rsidR="0077775E" w:rsidRDefault="00777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544"/>
    <w:multiLevelType w:val="hybridMultilevel"/>
    <w:tmpl w:val="45A2B460"/>
    <w:lvl w:ilvl="0" w:tplc="08130001">
      <w:start w:val="1"/>
      <w:numFmt w:val="bullet"/>
      <w:lvlText w:val=""/>
      <w:lvlJc w:val="left"/>
      <w:pPr>
        <w:ind w:left="360" w:hanging="360"/>
      </w:pPr>
      <w:rPr>
        <w:rFonts w:ascii="Symbol" w:hAnsi="Symbol" w:hint="default"/>
      </w:rPr>
    </w:lvl>
    <w:lvl w:ilvl="1" w:tplc="43325528">
      <w:numFmt w:val="bullet"/>
      <w:lvlText w:val="-"/>
      <w:lvlJc w:val="left"/>
      <w:pPr>
        <w:ind w:left="1080" w:hanging="360"/>
      </w:pPr>
      <w:rPr>
        <w:rFonts w:ascii="Calibri" w:eastAsiaTheme="minorHAnsi" w:hAnsi="Calibri" w:cs="Calibri"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1A153DAC"/>
    <w:multiLevelType w:val="hybridMultilevel"/>
    <w:tmpl w:val="5CC69E8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75E"/>
    <w:rsid w:val="00000F6F"/>
    <w:rsid w:val="000C4CC5"/>
    <w:rsid w:val="00105368"/>
    <w:rsid w:val="001130FC"/>
    <w:rsid w:val="001274AA"/>
    <w:rsid w:val="001A321A"/>
    <w:rsid w:val="001B7312"/>
    <w:rsid w:val="002403D9"/>
    <w:rsid w:val="002E504B"/>
    <w:rsid w:val="003408CF"/>
    <w:rsid w:val="00346993"/>
    <w:rsid w:val="003A2926"/>
    <w:rsid w:val="003C3C7F"/>
    <w:rsid w:val="003C4131"/>
    <w:rsid w:val="00432617"/>
    <w:rsid w:val="004751DD"/>
    <w:rsid w:val="004B7FF3"/>
    <w:rsid w:val="004E4E88"/>
    <w:rsid w:val="004F3FCD"/>
    <w:rsid w:val="0050319A"/>
    <w:rsid w:val="00516008"/>
    <w:rsid w:val="00536A6C"/>
    <w:rsid w:val="00536BDA"/>
    <w:rsid w:val="00561704"/>
    <w:rsid w:val="00567096"/>
    <w:rsid w:val="00577C87"/>
    <w:rsid w:val="0059555E"/>
    <w:rsid w:val="00600470"/>
    <w:rsid w:val="006916CF"/>
    <w:rsid w:val="006B46C5"/>
    <w:rsid w:val="006E635D"/>
    <w:rsid w:val="007368E0"/>
    <w:rsid w:val="00757F94"/>
    <w:rsid w:val="0077775E"/>
    <w:rsid w:val="00791779"/>
    <w:rsid w:val="00811B15"/>
    <w:rsid w:val="00822AB3"/>
    <w:rsid w:val="00867948"/>
    <w:rsid w:val="008E353C"/>
    <w:rsid w:val="00926C8B"/>
    <w:rsid w:val="00934249"/>
    <w:rsid w:val="00973362"/>
    <w:rsid w:val="009F64E9"/>
    <w:rsid w:val="00A127DC"/>
    <w:rsid w:val="00A9244F"/>
    <w:rsid w:val="00A9245E"/>
    <w:rsid w:val="00A945AF"/>
    <w:rsid w:val="00B12DA3"/>
    <w:rsid w:val="00BD6077"/>
    <w:rsid w:val="00C75AD6"/>
    <w:rsid w:val="00CA133C"/>
    <w:rsid w:val="00D54A7B"/>
    <w:rsid w:val="00D60C8F"/>
    <w:rsid w:val="00D77AAF"/>
    <w:rsid w:val="00D905DB"/>
    <w:rsid w:val="00DA1A8D"/>
    <w:rsid w:val="00E73D2C"/>
    <w:rsid w:val="00F20B0D"/>
    <w:rsid w:val="00F8646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2A27F"/>
  <w14:defaultImageDpi w14:val="32767"/>
  <w15:chartTrackingRefBased/>
  <w15:docId w15:val="{345DD075-BC2D-4DF6-B953-3C0C8BC1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77AAF"/>
    <w:pPr>
      <w:jc w:val="both"/>
    </w:pPr>
    <w:rPr>
      <w:rFonts w:ascii="Arial" w:hAnsi="Arial"/>
      <w:sz w:val="20"/>
    </w:rPr>
  </w:style>
  <w:style w:type="paragraph" w:styleId="Kop1">
    <w:name w:val="heading 1"/>
    <w:basedOn w:val="Standaard"/>
    <w:next w:val="Standaard"/>
    <w:link w:val="Kop1Char"/>
    <w:autoRedefine/>
    <w:uiPriority w:val="9"/>
    <w:qFormat/>
    <w:rsid w:val="00E73D2C"/>
    <w:pPr>
      <w:keepNext/>
      <w:keepLines/>
      <w:spacing w:after="120" w:line="240" w:lineRule="auto"/>
      <w:jc w:val="left"/>
      <w:outlineLvl w:val="0"/>
    </w:pPr>
    <w:rPr>
      <w:rFonts w:eastAsiaTheme="majorEastAsia" w:cstheme="majorBidi"/>
      <w:caps/>
      <w:color w:val="97509A" w:themeColor="accent1"/>
      <w:sz w:val="32"/>
      <w:szCs w:val="32"/>
      <w:lang w:val="nl-BE"/>
    </w:rPr>
  </w:style>
  <w:style w:type="paragraph" w:styleId="Kop2">
    <w:name w:val="heading 2"/>
    <w:basedOn w:val="Standaard"/>
    <w:next w:val="Standaard"/>
    <w:link w:val="Kop2Char"/>
    <w:autoRedefine/>
    <w:uiPriority w:val="9"/>
    <w:unhideWhenUsed/>
    <w:qFormat/>
    <w:rsid w:val="00E73D2C"/>
    <w:pPr>
      <w:keepNext/>
      <w:keepLines/>
      <w:shd w:val="clear" w:color="97509A" w:themeColor="accent1" w:fill="auto"/>
      <w:spacing w:before="40" w:after="0"/>
      <w:ind w:left="113"/>
      <w:outlineLvl w:val="1"/>
    </w:pPr>
    <w:rPr>
      <w:rFonts w:eastAsiaTheme="majorEastAsia" w:cstheme="majorBidi"/>
      <w:caps/>
      <w:color w:val="FFFFFF" w:themeColor="background1"/>
      <w:sz w:val="28"/>
      <w:szCs w:val="28"/>
      <w:shd w:val="clear" w:color="auto" w:fill="97509A" w:themeFill="accent1"/>
      <w:lang w:val="nl-BE"/>
    </w:rPr>
  </w:style>
  <w:style w:type="paragraph" w:styleId="Kop3">
    <w:name w:val="heading 3"/>
    <w:basedOn w:val="Standaard"/>
    <w:next w:val="Standaard"/>
    <w:link w:val="Kop3Char"/>
    <w:autoRedefine/>
    <w:uiPriority w:val="9"/>
    <w:unhideWhenUsed/>
    <w:qFormat/>
    <w:rsid w:val="00E73D2C"/>
    <w:pPr>
      <w:keepNext/>
      <w:keepLines/>
      <w:spacing w:before="40" w:after="0"/>
      <w:ind w:left="284"/>
      <w:outlineLvl w:val="2"/>
    </w:pPr>
    <w:rPr>
      <w:rFonts w:eastAsiaTheme="majorEastAsia" w:cstheme="majorBidi"/>
      <w:caps/>
      <w:color w:val="97509A" w:themeColor="accent1"/>
      <w:sz w:val="28"/>
      <w:szCs w:val="24"/>
      <w:lang w:val="nl-BE"/>
    </w:rPr>
  </w:style>
  <w:style w:type="paragraph" w:styleId="Kop4">
    <w:name w:val="heading 4"/>
    <w:basedOn w:val="Standaard"/>
    <w:next w:val="Standaard"/>
    <w:link w:val="Kop4Char"/>
    <w:autoRedefine/>
    <w:uiPriority w:val="9"/>
    <w:unhideWhenUsed/>
    <w:qFormat/>
    <w:rsid w:val="00E73D2C"/>
    <w:pPr>
      <w:keepNext/>
      <w:keepLines/>
      <w:spacing w:before="40" w:after="0"/>
      <w:ind w:left="567"/>
      <w:outlineLvl w:val="3"/>
    </w:pPr>
    <w:rPr>
      <w:rFonts w:asciiTheme="majorHAnsi" w:eastAsiaTheme="majorEastAsia" w:hAnsiTheme="majorHAnsi" w:cstheme="majorBidi"/>
      <w:iCs/>
      <w:caps/>
      <w:color w:val="97509A" w:themeColor="accent1"/>
      <w:sz w:val="24"/>
      <w:lang w:val="nl-BE"/>
    </w:rPr>
  </w:style>
  <w:style w:type="paragraph" w:styleId="Kop5">
    <w:name w:val="heading 5"/>
    <w:basedOn w:val="Standaard"/>
    <w:next w:val="Standaard"/>
    <w:link w:val="Kop5Char"/>
    <w:autoRedefine/>
    <w:uiPriority w:val="9"/>
    <w:unhideWhenUsed/>
    <w:qFormat/>
    <w:rsid w:val="00A127DC"/>
    <w:pPr>
      <w:keepNext/>
      <w:keepLines/>
      <w:spacing w:before="40" w:after="0"/>
      <w:ind w:left="851"/>
      <w:outlineLvl w:val="4"/>
    </w:pPr>
    <w:rPr>
      <w:rFonts w:eastAsiaTheme="majorEastAsia" w:cstheme="majorBidi"/>
      <w:color w:val="97509A" w:themeColor="accent1"/>
      <w:sz w:val="24"/>
    </w:rPr>
  </w:style>
  <w:style w:type="paragraph" w:styleId="Kop6">
    <w:name w:val="heading 6"/>
    <w:basedOn w:val="Standaard"/>
    <w:next w:val="Standaard"/>
    <w:link w:val="Kop6Char"/>
    <w:autoRedefine/>
    <w:uiPriority w:val="9"/>
    <w:unhideWhenUsed/>
    <w:qFormat/>
    <w:rsid w:val="00822AB3"/>
    <w:pPr>
      <w:keepNext/>
      <w:keepLines/>
      <w:spacing w:before="40" w:after="0"/>
      <w:ind w:left="1134"/>
      <w:outlineLvl w:val="5"/>
    </w:pPr>
    <w:rPr>
      <w:rFonts w:eastAsiaTheme="majorEastAsia" w:cstheme="majorBidi"/>
      <w:color w:val="97509A" w:themeColor="accent1"/>
      <w:sz w:val="22"/>
    </w:rPr>
  </w:style>
  <w:style w:type="paragraph" w:styleId="Kop7">
    <w:name w:val="heading 7"/>
    <w:basedOn w:val="Standaard"/>
    <w:next w:val="Standaard"/>
    <w:link w:val="Kop7Char"/>
    <w:uiPriority w:val="9"/>
    <w:unhideWhenUsed/>
    <w:qFormat/>
    <w:rsid w:val="00822AB3"/>
    <w:pPr>
      <w:keepNext/>
      <w:keepLines/>
      <w:spacing w:before="40" w:after="0"/>
      <w:ind w:left="1418"/>
      <w:outlineLvl w:val="6"/>
    </w:pPr>
    <w:rPr>
      <w:rFonts w:asciiTheme="majorHAnsi" w:eastAsiaTheme="majorEastAsia" w:hAnsiTheme="majorHAnsi" w:cstheme="majorBidi"/>
      <w:iCs/>
      <w:color w:val="97509A" w:themeColor="accent1"/>
    </w:rPr>
  </w:style>
  <w:style w:type="paragraph" w:styleId="Kop8">
    <w:name w:val="heading 8"/>
    <w:basedOn w:val="Standaard"/>
    <w:next w:val="Standaard"/>
    <w:link w:val="Kop8Char"/>
    <w:uiPriority w:val="9"/>
    <w:semiHidden/>
    <w:unhideWhenUsed/>
    <w:qFormat/>
    <w:rsid w:val="00D77AAF"/>
    <w:pPr>
      <w:keepNext/>
      <w:keepLines/>
      <w:spacing w:before="40" w:after="0"/>
      <w:outlineLvl w:val="7"/>
    </w:pPr>
    <w:rPr>
      <w:rFonts w:asciiTheme="majorHAnsi" w:eastAsiaTheme="majorEastAsia" w:hAnsiTheme="majorHAnsi" w:cstheme="majorBidi"/>
      <w:color w:val="72737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aliases w:val="Objet de courrier"/>
    <w:basedOn w:val="Standaardalinea-lettertype"/>
    <w:uiPriority w:val="22"/>
    <w:qFormat/>
    <w:rsid w:val="00346993"/>
    <w:rPr>
      <w:rFonts w:ascii="Arial" w:hAnsi="Arial"/>
      <w:b/>
      <w:bCs/>
    </w:rPr>
  </w:style>
  <w:style w:type="paragraph" w:styleId="Geenafstand">
    <w:name w:val="No Spacing"/>
    <w:autoRedefine/>
    <w:uiPriority w:val="1"/>
    <w:qFormat/>
    <w:rsid w:val="0077775E"/>
    <w:pPr>
      <w:spacing w:after="0" w:line="240" w:lineRule="auto"/>
      <w:jc w:val="both"/>
    </w:pPr>
    <w:rPr>
      <w:rFonts w:ascii="Arial" w:hAnsi="Arial"/>
      <w:sz w:val="20"/>
    </w:rPr>
  </w:style>
  <w:style w:type="character" w:customStyle="1" w:styleId="Kop1Char">
    <w:name w:val="Kop 1 Char"/>
    <w:basedOn w:val="Standaardalinea-lettertype"/>
    <w:link w:val="Kop1"/>
    <w:uiPriority w:val="9"/>
    <w:rsid w:val="00E73D2C"/>
    <w:rPr>
      <w:rFonts w:ascii="Arial" w:eastAsiaTheme="majorEastAsia" w:hAnsi="Arial" w:cstheme="majorBidi"/>
      <w:caps/>
      <w:color w:val="97509A" w:themeColor="accent1"/>
      <w:sz w:val="32"/>
      <w:szCs w:val="32"/>
      <w:lang w:val="nl-BE"/>
    </w:rPr>
  </w:style>
  <w:style w:type="character" w:customStyle="1" w:styleId="Kop2Char">
    <w:name w:val="Kop 2 Char"/>
    <w:basedOn w:val="Standaardalinea-lettertype"/>
    <w:link w:val="Kop2"/>
    <w:uiPriority w:val="9"/>
    <w:rsid w:val="00E73D2C"/>
    <w:rPr>
      <w:rFonts w:ascii="Arial" w:eastAsiaTheme="majorEastAsia" w:hAnsi="Arial" w:cstheme="majorBidi"/>
      <w:caps/>
      <w:color w:val="FFFFFF" w:themeColor="background1"/>
      <w:sz w:val="28"/>
      <w:szCs w:val="28"/>
      <w:shd w:val="clear" w:color="97509A" w:themeColor="accent1" w:fill="auto"/>
      <w:lang w:val="nl-BE"/>
    </w:rPr>
  </w:style>
  <w:style w:type="character" w:customStyle="1" w:styleId="Kop3Char">
    <w:name w:val="Kop 3 Char"/>
    <w:basedOn w:val="Standaardalinea-lettertype"/>
    <w:link w:val="Kop3"/>
    <w:uiPriority w:val="9"/>
    <w:rsid w:val="00E73D2C"/>
    <w:rPr>
      <w:rFonts w:ascii="Arial" w:eastAsiaTheme="majorEastAsia" w:hAnsi="Arial" w:cstheme="majorBidi"/>
      <w:caps/>
      <w:color w:val="97509A" w:themeColor="accent1"/>
      <w:sz w:val="28"/>
      <w:szCs w:val="24"/>
      <w:lang w:val="nl-BE"/>
    </w:rPr>
  </w:style>
  <w:style w:type="character" w:customStyle="1" w:styleId="Kop4Char">
    <w:name w:val="Kop 4 Char"/>
    <w:basedOn w:val="Standaardalinea-lettertype"/>
    <w:link w:val="Kop4"/>
    <w:uiPriority w:val="9"/>
    <w:rsid w:val="00E73D2C"/>
    <w:rPr>
      <w:rFonts w:asciiTheme="majorHAnsi" w:eastAsiaTheme="majorEastAsia" w:hAnsiTheme="majorHAnsi" w:cstheme="majorBidi"/>
      <w:iCs/>
      <w:caps/>
      <w:color w:val="97509A" w:themeColor="accent1"/>
      <w:sz w:val="24"/>
      <w:lang w:val="nl-BE"/>
    </w:rPr>
  </w:style>
  <w:style w:type="character" w:customStyle="1" w:styleId="Kop5Char">
    <w:name w:val="Kop 5 Char"/>
    <w:basedOn w:val="Standaardalinea-lettertype"/>
    <w:link w:val="Kop5"/>
    <w:uiPriority w:val="9"/>
    <w:rsid w:val="00A127DC"/>
    <w:rPr>
      <w:rFonts w:ascii="Arial" w:eastAsiaTheme="majorEastAsia" w:hAnsi="Arial" w:cstheme="majorBidi"/>
      <w:color w:val="97509A" w:themeColor="accent1"/>
      <w:sz w:val="24"/>
    </w:rPr>
  </w:style>
  <w:style w:type="character" w:customStyle="1" w:styleId="Kop6Char">
    <w:name w:val="Kop 6 Char"/>
    <w:basedOn w:val="Standaardalinea-lettertype"/>
    <w:link w:val="Kop6"/>
    <w:uiPriority w:val="9"/>
    <w:rsid w:val="00822AB3"/>
    <w:rPr>
      <w:rFonts w:ascii="Arial" w:eastAsiaTheme="majorEastAsia" w:hAnsi="Arial" w:cstheme="majorBidi"/>
      <w:color w:val="97509A" w:themeColor="accent1"/>
    </w:rPr>
  </w:style>
  <w:style w:type="paragraph" w:styleId="Koptekst">
    <w:name w:val="header"/>
    <w:basedOn w:val="Standaard"/>
    <w:link w:val="KoptekstChar"/>
    <w:uiPriority w:val="99"/>
    <w:unhideWhenUsed/>
    <w:rsid w:val="007777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775E"/>
    <w:rPr>
      <w:rFonts w:ascii="Titillium Lt" w:hAnsi="Titillium Lt"/>
      <w:sz w:val="20"/>
    </w:rPr>
  </w:style>
  <w:style w:type="paragraph" w:styleId="Voettekst">
    <w:name w:val="footer"/>
    <w:basedOn w:val="Standaard"/>
    <w:link w:val="VoettekstChar"/>
    <w:uiPriority w:val="99"/>
    <w:unhideWhenUsed/>
    <w:rsid w:val="007777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775E"/>
    <w:rPr>
      <w:rFonts w:ascii="Titillium Lt" w:hAnsi="Titillium Lt"/>
      <w:sz w:val="20"/>
    </w:rPr>
  </w:style>
  <w:style w:type="paragraph" w:styleId="Citaat">
    <w:name w:val="Quote"/>
    <w:basedOn w:val="Standaard"/>
    <w:next w:val="Standaard"/>
    <w:link w:val="CitaatChar"/>
    <w:uiPriority w:val="29"/>
    <w:qFormat/>
    <w:rsid w:val="0077775E"/>
    <w:pPr>
      <w:spacing w:before="200"/>
      <w:ind w:left="864" w:right="864"/>
      <w:jc w:val="center"/>
    </w:pPr>
    <w:rPr>
      <w:i/>
      <w:iCs/>
      <w:color w:val="828387" w:themeColor="text1" w:themeTint="BF"/>
    </w:rPr>
  </w:style>
  <w:style w:type="character" w:customStyle="1" w:styleId="CitaatChar">
    <w:name w:val="Citaat Char"/>
    <w:basedOn w:val="Standaardalinea-lettertype"/>
    <w:link w:val="Citaat"/>
    <w:uiPriority w:val="29"/>
    <w:rsid w:val="0077775E"/>
    <w:rPr>
      <w:rFonts w:ascii="Arial" w:hAnsi="Arial"/>
      <w:i/>
      <w:iCs/>
      <w:color w:val="828387" w:themeColor="text1" w:themeTint="BF"/>
      <w:sz w:val="20"/>
    </w:rPr>
  </w:style>
  <w:style w:type="character" w:styleId="Intensievebenadrukking">
    <w:name w:val="Intense Emphasis"/>
    <w:basedOn w:val="Standaardalinea-lettertype"/>
    <w:uiPriority w:val="21"/>
    <w:qFormat/>
    <w:rsid w:val="00346993"/>
    <w:rPr>
      <w:rFonts w:ascii="Arial" w:hAnsi="Arial"/>
      <w:i/>
      <w:iCs/>
      <w:color w:val="97509A" w:themeColor="accent1"/>
    </w:rPr>
  </w:style>
  <w:style w:type="character" w:customStyle="1" w:styleId="Kop7Char">
    <w:name w:val="Kop 7 Char"/>
    <w:basedOn w:val="Standaardalinea-lettertype"/>
    <w:link w:val="Kop7"/>
    <w:uiPriority w:val="9"/>
    <w:rsid w:val="00822AB3"/>
    <w:rPr>
      <w:rFonts w:asciiTheme="majorHAnsi" w:eastAsiaTheme="majorEastAsia" w:hAnsiTheme="majorHAnsi" w:cstheme="majorBidi"/>
      <w:iCs/>
      <w:color w:val="97509A" w:themeColor="accent1"/>
      <w:sz w:val="20"/>
    </w:rPr>
  </w:style>
  <w:style w:type="character" w:styleId="Subtielebenadrukking">
    <w:name w:val="Subtle Emphasis"/>
    <w:basedOn w:val="Standaardalinea-lettertype"/>
    <w:uiPriority w:val="19"/>
    <w:qFormat/>
    <w:rsid w:val="00346993"/>
    <w:rPr>
      <w:rFonts w:ascii="Arial" w:hAnsi="Arial"/>
      <w:i/>
      <w:iCs/>
      <w:color w:val="828387" w:themeColor="text1" w:themeTint="BF"/>
    </w:rPr>
  </w:style>
  <w:style w:type="character" w:styleId="Nadruk">
    <w:name w:val="Emphasis"/>
    <w:basedOn w:val="Standaardalinea-lettertype"/>
    <w:uiPriority w:val="20"/>
    <w:qFormat/>
    <w:rsid w:val="00346993"/>
    <w:rPr>
      <w:rFonts w:ascii="Arial" w:hAnsi="Arial"/>
      <w:i/>
      <w:iCs/>
    </w:rPr>
  </w:style>
  <w:style w:type="paragraph" w:styleId="Duidelijkcitaat">
    <w:name w:val="Intense Quote"/>
    <w:basedOn w:val="Standaard"/>
    <w:next w:val="Standaard"/>
    <w:link w:val="DuidelijkcitaatChar"/>
    <w:uiPriority w:val="30"/>
    <w:qFormat/>
    <w:rsid w:val="00346993"/>
    <w:pPr>
      <w:pBdr>
        <w:top w:val="single" w:sz="4" w:space="10" w:color="97509A" w:themeColor="accent1"/>
        <w:bottom w:val="single" w:sz="4" w:space="10" w:color="97509A" w:themeColor="accent1"/>
      </w:pBdr>
      <w:spacing w:before="360" w:after="360"/>
      <w:ind w:left="864" w:right="864"/>
      <w:jc w:val="center"/>
    </w:pPr>
    <w:rPr>
      <w:i/>
      <w:iCs/>
      <w:color w:val="97509A" w:themeColor="accent1"/>
    </w:rPr>
  </w:style>
  <w:style w:type="character" w:customStyle="1" w:styleId="DuidelijkcitaatChar">
    <w:name w:val="Duidelijk citaat Char"/>
    <w:basedOn w:val="Standaardalinea-lettertype"/>
    <w:link w:val="Duidelijkcitaat"/>
    <w:uiPriority w:val="30"/>
    <w:rsid w:val="00346993"/>
    <w:rPr>
      <w:rFonts w:ascii="Arial" w:hAnsi="Arial"/>
      <w:i/>
      <w:iCs/>
      <w:color w:val="97509A" w:themeColor="accent1"/>
      <w:sz w:val="20"/>
    </w:rPr>
  </w:style>
  <w:style w:type="character" w:styleId="Subtieleverwijzing">
    <w:name w:val="Subtle Reference"/>
    <w:basedOn w:val="Standaardalinea-lettertype"/>
    <w:uiPriority w:val="31"/>
    <w:qFormat/>
    <w:rsid w:val="00346993"/>
    <w:rPr>
      <w:smallCaps/>
      <w:color w:val="939497" w:themeColor="text1" w:themeTint="A5"/>
    </w:rPr>
  </w:style>
  <w:style w:type="character" w:styleId="Intensieveverwijzing">
    <w:name w:val="Intense Reference"/>
    <w:basedOn w:val="Standaardalinea-lettertype"/>
    <w:uiPriority w:val="32"/>
    <w:qFormat/>
    <w:rsid w:val="00346993"/>
    <w:rPr>
      <w:b/>
      <w:bCs/>
      <w:smallCaps/>
      <w:color w:val="FEC32F" w:themeColor="accent5"/>
      <w:spacing w:val="5"/>
    </w:rPr>
  </w:style>
  <w:style w:type="character" w:styleId="Titelvanboek">
    <w:name w:val="Book Title"/>
    <w:basedOn w:val="Standaardalinea-lettertype"/>
    <w:uiPriority w:val="33"/>
    <w:qFormat/>
    <w:rsid w:val="00346993"/>
    <w:rPr>
      <w:rFonts w:ascii="Arial" w:hAnsi="Arial"/>
      <w:b/>
      <w:bCs/>
      <w:i/>
      <w:iCs/>
      <w:spacing w:val="5"/>
    </w:rPr>
  </w:style>
  <w:style w:type="paragraph" w:styleId="Lijstalinea">
    <w:name w:val="List Paragraph"/>
    <w:basedOn w:val="Standaard"/>
    <w:uiPriority w:val="34"/>
    <w:qFormat/>
    <w:rsid w:val="00346993"/>
    <w:pPr>
      <w:ind w:left="720"/>
      <w:contextualSpacing/>
    </w:pPr>
  </w:style>
  <w:style w:type="character" w:customStyle="1" w:styleId="Kop8Char">
    <w:name w:val="Kop 8 Char"/>
    <w:basedOn w:val="Standaardalinea-lettertype"/>
    <w:link w:val="Kop8"/>
    <w:uiPriority w:val="9"/>
    <w:semiHidden/>
    <w:rsid w:val="00D77AAF"/>
    <w:rPr>
      <w:rFonts w:asciiTheme="majorHAnsi" w:eastAsiaTheme="majorEastAsia" w:hAnsiTheme="majorHAnsi" w:cstheme="majorBidi"/>
      <w:color w:val="727377" w:themeColor="text1" w:themeTint="D8"/>
      <w:sz w:val="21"/>
      <w:szCs w:val="21"/>
    </w:rPr>
  </w:style>
  <w:style w:type="table" w:styleId="Tabelraster">
    <w:name w:val="Table Grid"/>
    <w:basedOn w:val="Standaardtabel"/>
    <w:uiPriority w:val="39"/>
    <w:rsid w:val="001274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274AA"/>
    <w:rPr>
      <w:color w:val="1F88CF" w:themeColor="hyperlink"/>
      <w:u w:val="single"/>
    </w:rPr>
  </w:style>
  <w:style w:type="character" w:styleId="GevolgdeHyperlink">
    <w:name w:val="FollowedHyperlink"/>
    <w:basedOn w:val="Standaardalinea-lettertype"/>
    <w:uiPriority w:val="99"/>
    <w:semiHidden/>
    <w:unhideWhenUsed/>
    <w:rsid w:val="00A9244F"/>
    <w:rPr>
      <w:color w:val="1F88CF" w:themeColor="followedHyperlink"/>
      <w:u w:val="single"/>
    </w:rPr>
  </w:style>
  <w:style w:type="paragraph" w:styleId="Ballontekst">
    <w:name w:val="Balloon Text"/>
    <w:basedOn w:val="Standaard"/>
    <w:link w:val="BallontekstChar"/>
    <w:uiPriority w:val="99"/>
    <w:semiHidden/>
    <w:unhideWhenUsed/>
    <w:rsid w:val="002403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403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tf-gafi.org/media/fatf/documents/reports/fur/FUR-Belgique-2018.pdf" TargetMode="External"/><Relationship Id="rId18" Type="http://schemas.openxmlformats.org/officeDocument/2006/relationships/hyperlink" Target="https://ec.europa.eu/fpi/what-we-do/blocking-statute_f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sanctionsmap.eu/" TargetMode="External"/><Relationship Id="rId7" Type="http://schemas.openxmlformats.org/officeDocument/2006/relationships/settings" Target="settings.xml"/><Relationship Id="rId12" Type="http://schemas.openxmlformats.org/officeDocument/2006/relationships/hyperlink" Target="https://www.un.org/securitycouncil/sanctions/information" TargetMode="External"/><Relationship Id="rId17" Type="http://schemas.openxmlformats.org/officeDocument/2006/relationships/hyperlink" Target="https://eur-lex.europa.eu/legal-content/FR/TXT/PDF/?uri=CELEX:01996R2271-20140220&amp;from=F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quesfinvragen.tf@minfin.fed.be" TargetMode="External"/><Relationship Id="rId20" Type="http://schemas.openxmlformats.org/officeDocument/2006/relationships/hyperlink" Target="https://ec.europa.eu/fpi/what-we-do/sanctions_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justice.just.fgov.be/cgi_loi/change_lg.pl?language=fr&amp;la=F&amp;cn=2019050225&amp;table_name=loi"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ejustice.just.fgov.be/cgi_loi/change_lg.pl?language=fr&amp;la=F&amp;cn=1995051135&amp;table_name=loi"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ejustice.just.fgov.be/cgi_loi/change_lg.pl?language=fr&amp;la=F&amp;cn=2003051334&amp;table_name=lo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tf-gafi.org/fr/aproposdugafi/"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FINCHARTE THES">
      <a:dk1>
        <a:srgbClr val="5A5B5E"/>
      </a:dk1>
      <a:lt1>
        <a:srgbClr val="FFFFFF"/>
      </a:lt1>
      <a:dk2>
        <a:srgbClr val="4E1F65"/>
      </a:dk2>
      <a:lt2>
        <a:srgbClr val="FFFFFF"/>
      </a:lt2>
      <a:accent1>
        <a:srgbClr val="97509A"/>
      </a:accent1>
      <a:accent2>
        <a:srgbClr val="75C3A5"/>
      </a:accent2>
      <a:accent3>
        <a:srgbClr val="E16E83"/>
      </a:accent3>
      <a:accent4>
        <a:srgbClr val="00A4C9"/>
      </a:accent4>
      <a:accent5>
        <a:srgbClr val="FEC32F"/>
      </a:accent5>
      <a:accent6>
        <a:srgbClr val="5A5B5E"/>
      </a:accent6>
      <a:hlink>
        <a:srgbClr val="1F88CF"/>
      </a:hlink>
      <a:folHlink>
        <a:srgbClr val="1F88CF"/>
      </a:folHlink>
    </a:clrScheme>
    <a:fontScheme name="Personnalisé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53791ac-9cb7-417c-a4b7-26b9d1e37411">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7EC2F1D024D459DDC46B36C3E0275" ma:contentTypeVersion="1" ma:contentTypeDescription="Create a new document." ma:contentTypeScope="" ma:versionID="17df50d45960b7d5e3aa0b287cc0b8aa">
  <xsd:schema xmlns:xsd="http://www.w3.org/2001/XMLSchema" xmlns:xs="http://www.w3.org/2001/XMLSchema" xmlns:p="http://schemas.microsoft.com/office/2006/metadata/properties" xmlns:ns2="16d4a8a9-807a-47b1-96b0-20316e6a358f" xmlns:ns3="553791ac-9cb7-417c-a4b7-26b9d1e37411" xmlns:ns4="e2d4f72a-98d3-44e1-9d40-6cb0b4ef1a68" targetNamespace="http://schemas.microsoft.com/office/2006/metadata/properties" ma:root="true" ma:fieldsID="2dce0a4e5c527e6dcf5fd943c9a2aa78" ns2:_="" ns3:_="" ns4:_="">
    <xsd:import namespace="16d4a8a9-807a-47b1-96b0-20316e6a358f"/>
    <xsd:import namespace="553791ac-9cb7-417c-a4b7-26b9d1e37411"/>
    <xsd:import namespace="e2d4f72a-98d3-44e1-9d40-6cb0b4ef1a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4a8a9-807a-47b1-96b0-20316e6a35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791ac-9cb7-417c-a4b7-26b9d1e3741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d4f72a-98d3-44e1-9d40-6cb0b4ef1a68" elementFormDefault="qualified">
    <xsd:import namespace="http://schemas.microsoft.com/office/2006/documentManagement/types"/>
    <xsd:import namespace="http://schemas.microsoft.com/office/infopath/2007/PartnerControls"/>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BB54D-7922-4181-97B2-3696BE609318}">
  <ds:schemaRefs>
    <ds:schemaRef ds:uri="http://schemas.microsoft.com/office/2006/metadata/properties"/>
    <ds:schemaRef ds:uri="http://schemas.microsoft.com/office/infopath/2007/PartnerControls"/>
    <ds:schemaRef ds:uri="553791ac-9cb7-417c-a4b7-26b9d1e37411"/>
  </ds:schemaRefs>
</ds:datastoreItem>
</file>

<file path=customXml/itemProps2.xml><?xml version="1.0" encoding="utf-8"?>
<ds:datastoreItem xmlns:ds="http://schemas.openxmlformats.org/officeDocument/2006/customXml" ds:itemID="{2A37BFF1-FFDA-4595-B7DF-7135DE473904}">
  <ds:schemaRefs>
    <ds:schemaRef ds:uri="http://schemas.microsoft.com/sharepoint/v3/contenttype/forms"/>
  </ds:schemaRefs>
</ds:datastoreItem>
</file>

<file path=customXml/itemProps3.xml><?xml version="1.0" encoding="utf-8"?>
<ds:datastoreItem xmlns:ds="http://schemas.openxmlformats.org/officeDocument/2006/customXml" ds:itemID="{1DEEAB70-EC18-4F02-88B7-AD5C420F50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4a8a9-807a-47b1-96b0-20316e6a358f"/>
    <ds:schemaRef ds:uri="553791ac-9cb7-417c-a4b7-26b9d1e37411"/>
    <ds:schemaRef ds:uri="e2d4f72a-98d3-44e1-9d40-6cb0b4ef1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7C8BF2-E231-484C-A2B8-C84E76A5E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1366</Words>
  <Characters>7517</Characters>
  <Application>Microsoft Office Word</Application>
  <DocSecurity>0</DocSecurity>
  <Lines>62</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Gael J-M. Declercq (MINFIN)</dc:creator>
  <cp:keywords/>
  <dc:description/>
  <cp:lastModifiedBy>Laura Muls (MINFIN)</cp:lastModifiedBy>
  <cp:revision>6</cp:revision>
  <cp:lastPrinted>2019-06-05T13:38:00Z</cp:lastPrinted>
  <dcterms:created xsi:type="dcterms:W3CDTF">2019-06-05T13:21:00Z</dcterms:created>
  <dcterms:modified xsi:type="dcterms:W3CDTF">2019-06-05T14:34:00Z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0x0101009667EC2F1D024D459DDC46B36C3E0275</vt:lpwstr>
  </property>
  <property fmtid="{D5CDD505-2E9C-101B-9397-08002B2CF9AE}" pid="3" name="Authority">
    <vt:lpwstr/>
  </property>
  <property fmtid="{D5CDD505-2E9C-101B-9397-08002B2CF9AE}" pid="4" name="Order">
    <vt:r8>251800</vt:r8>
  </property>
  <property fmtid="{D5CDD505-2E9C-101B-9397-08002B2CF9AE}" pid="5" name="xd_Signature">
    <vt:bool>false</vt:bool>
  </property>
  <property fmtid="{D5CDD505-2E9C-101B-9397-08002B2CF9AE}" pid="6" name="xd_ProgID">
    <vt:lpwstr/>
  </property>
  <property fmtid="{D5CDD505-2E9C-101B-9397-08002B2CF9AE}" pid="7" name="DocLanguage">
    <vt:lpwstr/>
  </property>
  <property fmtid="{D5CDD505-2E9C-101B-9397-08002B2CF9AE}" pid="8" name="DocType">
    <vt:lpwstr/>
  </property>
  <property fmtid="{D5CDD505-2E9C-101B-9397-08002B2CF9AE}" pid="9" name="_Version">
    <vt:lpwstr/>
  </property>
  <property fmtid="{D5CDD505-2E9C-101B-9397-08002B2CF9AE}" pid="10" name="TemplateUrl">
    <vt:lpwstr/>
  </property>
  <property fmtid="{D5CDD505-2E9C-101B-9397-08002B2CF9AE}" pid="11" name="ComplianceAssetId">
    <vt:lpwstr/>
  </property>
</Properties>
</file>